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420"/>
        <w:jc w:val="center"/>
        <w:textAlignment w:val="auto"/>
        <w:rPr>
          <w:rFonts w:hint="eastAsia" w:ascii="方正小标宋简体" w:hAnsi="方正小标宋简体" w:eastAsia="方正小标宋简体" w:cs="方正小标宋简体"/>
          <w:b w:val="0"/>
          <w:bCs w:val="0"/>
          <w:i w:val="0"/>
          <w:iCs w:val="0"/>
          <w:caps w:val="0"/>
          <w:color w:val="auto"/>
          <w:spacing w:val="0"/>
          <w:sz w:val="36"/>
          <w:szCs w:val="36"/>
          <w:highlight w:val="none"/>
          <w:u w:val="none"/>
        </w:rPr>
      </w:pPr>
      <w:r>
        <w:rPr>
          <w:rFonts w:hint="eastAsia" w:ascii="方正小标宋简体" w:hAnsi="方正小标宋简体" w:eastAsia="方正小标宋简体" w:cs="方正小标宋简体"/>
          <w:b w:val="0"/>
          <w:bCs w:val="0"/>
          <w:i w:val="0"/>
          <w:iCs w:val="0"/>
          <w:caps w:val="0"/>
          <w:color w:val="auto"/>
          <w:spacing w:val="0"/>
          <w:sz w:val="36"/>
          <w:szCs w:val="36"/>
          <w:highlight w:val="none"/>
          <w:u w:val="none"/>
          <w:lang w:val="en-US" w:eastAsia="zh-CN"/>
        </w:rPr>
        <w:t>河南省卫生健康委关于印发《河南省</w:t>
      </w:r>
      <w:r>
        <w:rPr>
          <w:rFonts w:hint="eastAsia" w:ascii="方正小标宋简体" w:hAnsi="方正小标宋简体" w:eastAsia="方正小标宋简体" w:cs="方正小标宋简体"/>
          <w:b w:val="0"/>
          <w:bCs w:val="0"/>
          <w:i w:val="0"/>
          <w:iCs w:val="0"/>
          <w:caps w:val="0"/>
          <w:color w:val="auto"/>
          <w:spacing w:val="0"/>
          <w:sz w:val="36"/>
          <w:szCs w:val="36"/>
          <w:highlight w:val="none"/>
          <w:u w:val="none"/>
        </w:rPr>
        <w:t>全面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420"/>
        <w:jc w:val="center"/>
        <w:textAlignment w:val="auto"/>
        <w:rPr>
          <w:rFonts w:hint="eastAsia" w:ascii="方正小标宋简体" w:hAnsi="方正小标宋简体" w:eastAsia="方正小标宋简体" w:cs="方正小标宋简体"/>
          <w:b w:val="0"/>
          <w:bCs w:val="0"/>
          <w:i w:val="0"/>
          <w:iCs w:val="0"/>
          <w:caps w:val="0"/>
          <w:color w:val="auto"/>
          <w:spacing w:val="0"/>
          <w:sz w:val="36"/>
          <w:szCs w:val="36"/>
          <w:highlight w:val="none"/>
          <w:u w:val="none"/>
          <w:lang w:val="en-US" w:eastAsia="zh-CN"/>
        </w:rPr>
      </w:pPr>
      <w:r>
        <w:rPr>
          <w:rFonts w:hint="eastAsia" w:ascii="方正小标宋简体" w:hAnsi="方正小标宋简体" w:eastAsia="方正小标宋简体" w:cs="方正小标宋简体"/>
          <w:b w:val="0"/>
          <w:bCs w:val="0"/>
          <w:i w:val="0"/>
          <w:iCs w:val="0"/>
          <w:caps w:val="0"/>
          <w:color w:val="auto"/>
          <w:spacing w:val="0"/>
          <w:sz w:val="36"/>
          <w:szCs w:val="36"/>
          <w:highlight w:val="none"/>
          <w:u w:val="none"/>
        </w:rPr>
        <w:t>提升医疗质量行动</w:t>
      </w:r>
      <w:r>
        <w:rPr>
          <w:rFonts w:hint="eastAsia" w:ascii="方正小标宋简体" w:hAnsi="方正小标宋简体" w:eastAsia="方正小标宋简体" w:cs="方正小标宋简体"/>
          <w:b w:val="0"/>
          <w:bCs w:val="0"/>
          <w:i w:val="0"/>
          <w:iCs w:val="0"/>
          <w:caps w:val="0"/>
          <w:color w:val="auto"/>
          <w:spacing w:val="0"/>
          <w:sz w:val="36"/>
          <w:szCs w:val="36"/>
          <w:highlight w:val="none"/>
          <w:u w:val="none"/>
          <w:lang w:val="en-US" w:eastAsia="zh-CN"/>
        </w:rPr>
        <w:t>实施方案</w:t>
      </w:r>
      <w:r>
        <w:rPr>
          <w:rFonts w:hint="eastAsia" w:ascii="方正小标宋简体" w:hAnsi="方正小标宋简体" w:eastAsia="方正小标宋简体" w:cs="方正小标宋简体"/>
          <w:b w:val="0"/>
          <w:bCs w:val="0"/>
          <w:i w:val="0"/>
          <w:iCs w:val="0"/>
          <w:caps w:val="0"/>
          <w:color w:val="auto"/>
          <w:spacing w:val="0"/>
          <w:sz w:val="36"/>
          <w:szCs w:val="36"/>
          <w:highlight w:val="none"/>
          <w:u w:val="none"/>
        </w:rPr>
        <w:t>（2023-2025年）</w:t>
      </w:r>
      <w:r>
        <w:rPr>
          <w:rFonts w:hint="eastAsia" w:ascii="方正小标宋简体" w:hAnsi="方正小标宋简体" w:eastAsia="方正小标宋简体" w:cs="方正小标宋简体"/>
          <w:b w:val="0"/>
          <w:bCs w:val="0"/>
          <w:i w:val="0"/>
          <w:iCs w:val="0"/>
          <w:caps w:val="0"/>
          <w:color w:val="auto"/>
          <w:spacing w:val="0"/>
          <w:sz w:val="36"/>
          <w:szCs w:val="36"/>
          <w:highlight w:val="none"/>
          <w:u w:val="none"/>
          <w:lang w:val="en-US" w:eastAsia="zh-CN"/>
        </w:rPr>
        <w:t>》</w:t>
      </w:r>
      <w:r>
        <w:rPr>
          <w:rFonts w:hint="eastAsia" w:ascii="方正小标宋简体" w:hAnsi="方正小标宋简体" w:eastAsia="方正小标宋简体" w:cs="方正小标宋简体"/>
          <w:b w:val="0"/>
          <w:bCs w:val="0"/>
          <w:i w:val="0"/>
          <w:iCs w:val="0"/>
          <w:caps w:val="0"/>
          <w:color w:val="auto"/>
          <w:spacing w:val="0"/>
          <w:sz w:val="36"/>
          <w:szCs w:val="36"/>
          <w:highlight w:val="none"/>
          <w:u w:val="none"/>
          <w:lang w:eastAsia="zh-CN"/>
        </w:rPr>
        <w:t>的通知</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各省辖市、济源示范区卫生健康委，航空港区教文卫体局，</w:t>
      </w:r>
      <w:r>
        <w:rPr>
          <w:rFonts w:hint="eastAsia" w:ascii="仿宋_GB2312" w:hAnsi="仿宋_GB2312" w:eastAsia="仿宋_GB2312" w:cs="仿宋_GB2312"/>
          <w:color w:val="auto"/>
          <w:sz w:val="32"/>
          <w:szCs w:val="32"/>
          <w:lang w:eastAsia="zh-CN"/>
        </w:rPr>
        <w:t>南阳市中医药发展局，</w:t>
      </w:r>
      <w:r>
        <w:rPr>
          <w:rFonts w:hint="eastAsia" w:ascii="仿宋_GB2312" w:hAnsi="仿宋_GB2312" w:eastAsia="仿宋_GB2312" w:cs="仿宋_GB2312"/>
          <w:color w:val="auto"/>
          <w:sz w:val="32"/>
          <w:szCs w:val="32"/>
        </w:rPr>
        <w:t>省直各医疗机构：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eastAsia" w:ascii="方正小标宋简体" w:hAnsi="方正小标宋简体" w:eastAsia="方正小标宋简体" w:cs="方正小标宋简体"/>
          <w:b w:val="0"/>
          <w:bCs w:val="0"/>
          <w:i w:val="0"/>
          <w:iCs w:val="0"/>
          <w:caps w:val="0"/>
          <w:color w:val="auto"/>
          <w:spacing w:val="0"/>
          <w:sz w:val="44"/>
          <w:szCs w:val="44"/>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rPr>
        <w:t>按照国家卫生健康委、国家中医药局《关于开展全面提升医疗质量行动（2023-2025年）的通知》（国卫医政发﹝2023﹞12号）总体要求，在“河南省医疗质量千院行活动（2021—2025年）”等工作基础上，河南省卫生健康委决定开展为期三年的全面提升医疗质量行动。现将《河南省全面提升医疗质量行动实施方案（2023-2025年）》印发给你们，请认真组织实施，确保取得实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42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highlight w:val="none"/>
          <w:u w:val="none"/>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42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highlight w:val="none"/>
          <w:u w:val="none"/>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42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highlight w:val="none"/>
          <w:u w:val="none"/>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420"/>
        <w:jc w:val="center"/>
        <w:textAlignment w:val="auto"/>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 xml:space="preserve">                2023年9月  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420"/>
        <w:jc w:val="center"/>
        <w:textAlignment w:val="auto"/>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420"/>
        <w:jc w:val="center"/>
        <w:textAlignment w:val="auto"/>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420"/>
        <w:jc w:val="both"/>
        <w:textAlignment w:val="auto"/>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cols w:space="425" w:num="1"/>
          <w:docGrid w:type="lines" w:linePitch="312" w:charSpace="0"/>
        </w:sect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420"/>
        <w:jc w:val="center"/>
        <w:textAlignment w:val="auto"/>
        <w:rPr>
          <w:rFonts w:hint="eastAsia" w:ascii="方正小标宋简体" w:hAnsi="方正小标宋简体" w:eastAsia="方正小标宋简体" w:cs="方正小标宋简体"/>
          <w:b w:val="0"/>
          <w:bCs w:val="0"/>
          <w:i w:val="0"/>
          <w:iCs w:val="0"/>
          <w:caps w:val="0"/>
          <w:color w:val="auto"/>
          <w:spacing w:val="0"/>
          <w:sz w:val="32"/>
          <w:szCs w:val="32"/>
          <w:highlight w:val="none"/>
          <w:u w:val="none"/>
          <w:lang w:val="en-US" w:eastAsia="zh-CN"/>
        </w:rPr>
      </w:pPr>
      <w:r>
        <w:rPr>
          <w:rFonts w:hint="eastAsia" w:ascii="方正小标宋简体" w:hAnsi="方正小标宋简体" w:eastAsia="方正小标宋简体" w:cs="方正小标宋简体"/>
          <w:b w:val="0"/>
          <w:bCs w:val="0"/>
          <w:i w:val="0"/>
          <w:iCs w:val="0"/>
          <w:caps w:val="0"/>
          <w:color w:val="auto"/>
          <w:spacing w:val="0"/>
          <w:sz w:val="44"/>
          <w:szCs w:val="44"/>
          <w:highlight w:val="none"/>
          <w:u w:val="none"/>
          <w:lang w:val="en-US" w:eastAsia="zh-CN"/>
        </w:rPr>
        <w:t>河南省</w:t>
      </w:r>
      <w:r>
        <w:rPr>
          <w:rFonts w:hint="eastAsia" w:ascii="方正小标宋简体" w:hAnsi="方正小标宋简体" w:eastAsia="方正小标宋简体" w:cs="方正小标宋简体"/>
          <w:b w:val="0"/>
          <w:bCs w:val="0"/>
          <w:i w:val="0"/>
          <w:iCs w:val="0"/>
          <w:caps w:val="0"/>
          <w:color w:val="auto"/>
          <w:spacing w:val="0"/>
          <w:sz w:val="44"/>
          <w:szCs w:val="44"/>
          <w:highlight w:val="none"/>
          <w:u w:val="none"/>
        </w:rPr>
        <w:t>全面提升医疗质量行动</w:t>
      </w:r>
      <w:r>
        <w:rPr>
          <w:rFonts w:hint="eastAsia" w:ascii="方正小标宋简体" w:hAnsi="方正小标宋简体" w:eastAsia="方正小标宋简体" w:cs="方正小标宋简体"/>
          <w:b w:val="0"/>
          <w:bCs w:val="0"/>
          <w:i w:val="0"/>
          <w:iCs w:val="0"/>
          <w:caps w:val="0"/>
          <w:color w:val="auto"/>
          <w:spacing w:val="0"/>
          <w:sz w:val="44"/>
          <w:szCs w:val="44"/>
          <w:highlight w:val="none"/>
          <w:u w:val="none"/>
          <w:lang w:val="en-US" w:eastAsia="zh-CN"/>
        </w:rPr>
        <w:t>实施方案</w:t>
      </w:r>
      <w:r>
        <w:rPr>
          <w:rFonts w:hint="eastAsia" w:ascii="方正小标宋简体" w:hAnsi="方正小标宋简体" w:eastAsia="方正小标宋简体" w:cs="方正小标宋简体"/>
          <w:b w:val="0"/>
          <w:bCs w:val="0"/>
          <w:i w:val="0"/>
          <w:iCs w:val="0"/>
          <w:caps w:val="0"/>
          <w:color w:val="auto"/>
          <w:spacing w:val="0"/>
          <w:sz w:val="44"/>
          <w:szCs w:val="44"/>
          <w:highlight w:val="none"/>
          <w:u w:val="none"/>
        </w:rPr>
        <w:t>（2023-2025年）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420"/>
        <w:jc w:val="both"/>
        <w:textAlignment w:val="auto"/>
        <w:rPr>
          <w:rFonts w:hint="eastAsia" w:ascii="方正小标宋简体" w:hAnsi="方正小标宋简体" w:eastAsia="方正小标宋简体" w:cs="方正小标宋简体"/>
          <w:b w:val="0"/>
          <w:bCs w:val="0"/>
          <w:i w:val="0"/>
          <w:iCs w:val="0"/>
          <w:caps w:val="0"/>
          <w:color w:val="auto"/>
          <w:spacing w:val="0"/>
          <w:sz w:val="32"/>
          <w:szCs w:val="32"/>
          <w:highlight w:val="none"/>
          <w:u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仿宋_GB2312" w:hAnsi="仿宋_GB2312" w:eastAsia="仿宋_GB2312" w:cs="仿宋_GB2312"/>
          <w:b w:val="0"/>
          <w:bCs w:val="0"/>
          <w:i w:val="0"/>
          <w:iCs w:val="0"/>
          <w:caps w:val="0"/>
          <w:color w:val="auto"/>
          <w:spacing w:val="0"/>
          <w:sz w:val="32"/>
          <w:szCs w:val="32"/>
          <w:highlight w:val="none"/>
          <w:u w:val="none"/>
        </w:rPr>
      </w:pPr>
      <w:r>
        <w:rPr>
          <w:rFonts w:hint="eastAsia" w:ascii="仿宋_GB2312" w:hAnsi="仿宋_GB2312" w:eastAsia="仿宋_GB2312" w:cs="仿宋_GB2312"/>
          <w:b w:val="0"/>
          <w:bCs w:val="0"/>
          <w:i w:val="0"/>
          <w:iCs w:val="0"/>
          <w:caps w:val="0"/>
          <w:color w:val="auto"/>
          <w:spacing w:val="0"/>
          <w:sz w:val="32"/>
          <w:szCs w:val="32"/>
          <w:highlight w:val="none"/>
          <w:u w:val="none"/>
        </w:rPr>
        <w:t>为贯彻健康中国战略，深入推进健康中原建设</w:t>
      </w:r>
      <w:r>
        <w:rPr>
          <w:rFonts w:hint="eastAsia" w:ascii="仿宋_GB2312" w:hAnsi="仿宋_GB2312" w:eastAsia="仿宋_GB2312" w:cs="仿宋_GB2312"/>
          <w:b w:val="0"/>
          <w:bCs w:val="0"/>
          <w:i w:val="0"/>
          <w:iCs w:val="0"/>
          <w:caps w:val="0"/>
          <w:color w:val="auto"/>
          <w:spacing w:val="0"/>
          <w:sz w:val="32"/>
          <w:szCs w:val="32"/>
          <w:highlight w:val="none"/>
          <w:u w:val="none"/>
          <w:lang w:eastAsia="zh-CN"/>
        </w:rPr>
        <w:t>，</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夯实医疗质量基础，健全完善高质量医疗卫生服务体系，</w:t>
      </w:r>
      <w:r>
        <w:rPr>
          <w:rFonts w:hint="eastAsia" w:ascii="仿宋_GB2312" w:hAnsi="仿宋_GB2312" w:eastAsia="仿宋_GB2312" w:cs="仿宋_GB2312"/>
          <w:b w:val="0"/>
          <w:bCs w:val="0"/>
          <w:i w:val="0"/>
          <w:iCs w:val="0"/>
          <w:caps w:val="0"/>
          <w:color w:val="auto"/>
          <w:spacing w:val="0"/>
          <w:sz w:val="32"/>
          <w:szCs w:val="32"/>
          <w:highlight w:val="none"/>
          <w:u w:val="none"/>
        </w:rPr>
        <w:t>满足人民群众卫生健康高质量需求，按照</w:t>
      </w:r>
      <w:r>
        <w:rPr>
          <w:rFonts w:hint="eastAsia" w:ascii="仿宋_GB2312" w:hAnsi="仿宋_GB2312" w:eastAsia="仿宋_GB2312" w:cs="仿宋_GB2312"/>
          <w:b w:val="0"/>
          <w:bCs w:val="0"/>
          <w:i w:val="0"/>
          <w:iCs w:val="0"/>
          <w:caps w:val="0"/>
          <w:color w:val="auto"/>
          <w:spacing w:val="0"/>
          <w:sz w:val="32"/>
          <w:szCs w:val="32"/>
          <w:highlight w:val="none"/>
          <w:u w:val="none"/>
          <w:shd w:val="clear"/>
        </w:rPr>
        <w:t>国家卫生健康委、国家中医药局《关于开展全面提升医疗质量行动（2023-2025年）的通知》</w:t>
      </w:r>
      <w:r>
        <w:rPr>
          <w:rFonts w:hint="eastAsia" w:ascii="仿宋_GB2312" w:hAnsi="仿宋_GB2312" w:eastAsia="仿宋_GB2312" w:cs="仿宋_GB2312"/>
          <w:b w:val="0"/>
          <w:bCs w:val="0"/>
          <w:color w:val="auto"/>
          <w:sz w:val="32"/>
          <w:szCs w:val="32"/>
          <w:highlight w:val="none"/>
          <w:u w:val="none"/>
        </w:rPr>
        <w:t>（</w:t>
      </w:r>
      <w:r>
        <w:rPr>
          <w:rFonts w:hint="eastAsia" w:ascii="仿宋_GB2312" w:hAnsi="仿宋_GB2312" w:eastAsia="仿宋_GB2312" w:cs="仿宋_GB2312"/>
          <w:b w:val="0"/>
          <w:bCs w:val="0"/>
          <w:i w:val="0"/>
          <w:iCs w:val="0"/>
          <w:caps w:val="0"/>
          <w:color w:val="auto"/>
          <w:spacing w:val="0"/>
          <w:sz w:val="32"/>
          <w:szCs w:val="32"/>
          <w:highlight w:val="none"/>
          <w:u w:val="none"/>
        </w:rPr>
        <w:t>国卫医政发﹝2023﹞12号</w:t>
      </w:r>
      <w:r>
        <w:rPr>
          <w:rFonts w:hint="eastAsia" w:ascii="仿宋_GB2312" w:hAnsi="仿宋_GB2312" w:eastAsia="仿宋_GB2312" w:cs="仿宋_GB2312"/>
          <w:b w:val="0"/>
          <w:bCs w:val="0"/>
          <w:color w:val="auto"/>
          <w:sz w:val="32"/>
          <w:szCs w:val="32"/>
          <w:highlight w:val="none"/>
          <w:u w:val="none"/>
        </w:rPr>
        <w:t>）</w:t>
      </w:r>
      <w:r>
        <w:rPr>
          <w:rFonts w:hint="eastAsia" w:ascii="仿宋_GB2312" w:hAnsi="仿宋_GB2312" w:eastAsia="仿宋_GB2312" w:cs="仿宋_GB2312"/>
          <w:b w:val="0"/>
          <w:bCs w:val="0"/>
          <w:color w:val="auto"/>
          <w:sz w:val="32"/>
          <w:szCs w:val="32"/>
          <w:highlight w:val="none"/>
          <w:u w:val="none"/>
          <w:lang w:val="en-US" w:eastAsia="zh-CN"/>
        </w:rPr>
        <w:t>总体</w:t>
      </w:r>
      <w:r>
        <w:rPr>
          <w:rFonts w:hint="eastAsia" w:ascii="仿宋_GB2312" w:hAnsi="仿宋_GB2312" w:eastAsia="仿宋_GB2312" w:cs="仿宋_GB2312"/>
          <w:b w:val="0"/>
          <w:bCs w:val="0"/>
          <w:i w:val="0"/>
          <w:iCs w:val="0"/>
          <w:caps w:val="0"/>
          <w:color w:val="auto"/>
          <w:spacing w:val="0"/>
          <w:sz w:val="32"/>
          <w:szCs w:val="32"/>
          <w:highlight w:val="none"/>
          <w:u w:val="none"/>
        </w:rPr>
        <w:t>要求，在“河南省医疗质量千院行活动（2021—2025年）”等工作基础上，立足新发展阶段，</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贯彻新发展理念，融入新发展格局，</w:t>
      </w:r>
      <w:r>
        <w:rPr>
          <w:rFonts w:hint="eastAsia" w:ascii="仿宋_GB2312" w:hAnsi="仿宋_GB2312" w:eastAsia="仿宋_GB2312" w:cs="仿宋_GB2312"/>
          <w:b w:val="0"/>
          <w:bCs w:val="0"/>
          <w:i w:val="0"/>
          <w:iCs w:val="0"/>
          <w:caps w:val="0"/>
          <w:color w:val="auto"/>
          <w:spacing w:val="0"/>
          <w:sz w:val="32"/>
          <w:szCs w:val="32"/>
          <w:highlight w:val="none"/>
          <w:u w:val="none"/>
        </w:rPr>
        <w:t>紧扣高质量发展新形势、新任务，制定本</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实施</w:t>
      </w:r>
      <w:r>
        <w:rPr>
          <w:rFonts w:hint="eastAsia" w:ascii="仿宋_GB2312" w:hAnsi="仿宋_GB2312" w:eastAsia="仿宋_GB2312" w:cs="仿宋_GB2312"/>
          <w:b w:val="0"/>
          <w:bCs w:val="0"/>
          <w:i w:val="0"/>
          <w:iCs w:val="0"/>
          <w:caps w:val="0"/>
          <w:color w:val="auto"/>
          <w:spacing w:val="0"/>
          <w:sz w:val="32"/>
          <w:szCs w:val="32"/>
          <w:highlight w:val="none"/>
          <w:u w:val="none"/>
        </w:rPr>
        <w:t>方案。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黑体" w:hAnsi="黑体" w:eastAsia="黑体" w:cs="黑体"/>
          <w:b w:val="0"/>
          <w:bCs w:val="0"/>
          <w:i w:val="0"/>
          <w:iCs w:val="0"/>
          <w:caps w:val="0"/>
          <w:color w:val="auto"/>
          <w:spacing w:val="0"/>
          <w:sz w:val="32"/>
          <w:szCs w:val="32"/>
          <w:highlight w:val="none"/>
          <w:u w:val="none"/>
          <w:lang w:val="en-US" w:eastAsia="zh-CN"/>
        </w:rPr>
      </w:pPr>
      <w:r>
        <w:rPr>
          <w:rFonts w:hint="eastAsia" w:ascii="黑体" w:hAnsi="黑体" w:eastAsia="黑体" w:cs="黑体"/>
          <w:b w:val="0"/>
          <w:bCs w:val="0"/>
          <w:i w:val="0"/>
          <w:iCs w:val="0"/>
          <w:caps w:val="0"/>
          <w:color w:val="auto"/>
          <w:spacing w:val="0"/>
          <w:sz w:val="32"/>
          <w:szCs w:val="32"/>
          <w:highlight w:val="none"/>
          <w:u w:val="none"/>
          <w:lang w:val="en-US" w:eastAsia="zh-CN"/>
        </w:rPr>
        <w:t>一、总体要求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楷体_GB2312" w:hAnsi="楷体_GB2312" w:eastAsia="楷体_GB2312" w:cs="楷体_GB2312"/>
          <w:b w:val="0"/>
          <w:bCs w:val="0"/>
          <w:i w:val="0"/>
          <w:iCs w:val="0"/>
          <w:caps w:val="0"/>
          <w:color w:val="auto"/>
          <w:spacing w:val="0"/>
          <w:sz w:val="32"/>
          <w:szCs w:val="32"/>
          <w:highlight w:val="none"/>
          <w:u w:val="none"/>
        </w:rPr>
      </w:pPr>
      <w:r>
        <w:rPr>
          <w:rFonts w:hint="eastAsia" w:ascii="楷体_GB2312" w:hAnsi="楷体_GB2312" w:eastAsia="楷体_GB2312" w:cs="楷体_GB2312"/>
          <w:b w:val="0"/>
          <w:bCs w:val="0"/>
          <w:i w:val="0"/>
          <w:iCs w:val="0"/>
          <w:caps w:val="0"/>
          <w:color w:val="auto"/>
          <w:spacing w:val="0"/>
          <w:sz w:val="32"/>
          <w:szCs w:val="32"/>
          <w:highlight w:val="none"/>
          <w:u w:val="none"/>
          <w:lang w:eastAsia="zh-CN"/>
        </w:rPr>
        <w:t>（</w:t>
      </w:r>
      <w:r>
        <w:rPr>
          <w:rFonts w:hint="eastAsia" w:ascii="楷体_GB2312" w:hAnsi="楷体_GB2312" w:eastAsia="楷体_GB2312" w:cs="楷体_GB2312"/>
          <w:b w:val="0"/>
          <w:bCs w:val="0"/>
          <w:i w:val="0"/>
          <w:iCs w:val="0"/>
          <w:caps w:val="0"/>
          <w:color w:val="auto"/>
          <w:spacing w:val="0"/>
          <w:sz w:val="32"/>
          <w:szCs w:val="32"/>
          <w:highlight w:val="none"/>
          <w:u w:val="none"/>
          <w:lang w:val="en-US" w:eastAsia="zh-CN"/>
        </w:rPr>
        <w:t>一</w:t>
      </w:r>
      <w:r>
        <w:rPr>
          <w:rFonts w:hint="eastAsia" w:ascii="楷体_GB2312" w:hAnsi="楷体_GB2312" w:eastAsia="楷体_GB2312" w:cs="楷体_GB2312"/>
          <w:b w:val="0"/>
          <w:bCs w:val="0"/>
          <w:i w:val="0"/>
          <w:iCs w:val="0"/>
          <w:caps w:val="0"/>
          <w:color w:val="auto"/>
          <w:spacing w:val="0"/>
          <w:sz w:val="32"/>
          <w:szCs w:val="32"/>
          <w:highlight w:val="none"/>
          <w:u w:val="none"/>
          <w:lang w:eastAsia="zh-CN"/>
        </w:rPr>
        <w:t>）</w:t>
      </w:r>
      <w:r>
        <w:rPr>
          <w:rFonts w:hint="eastAsia" w:ascii="楷体_GB2312" w:hAnsi="楷体_GB2312" w:eastAsia="楷体_GB2312" w:cs="楷体_GB2312"/>
          <w:b w:val="0"/>
          <w:bCs w:val="0"/>
          <w:i w:val="0"/>
          <w:iCs w:val="0"/>
          <w:caps w:val="0"/>
          <w:color w:val="auto"/>
          <w:spacing w:val="0"/>
          <w:sz w:val="32"/>
          <w:szCs w:val="32"/>
          <w:highlight w:val="none"/>
          <w:u w:val="none"/>
        </w:rPr>
        <w:t>指导思想</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仿宋_GB2312" w:hAnsi="仿宋_GB2312" w:eastAsia="仿宋_GB2312" w:cs="仿宋_GB2312"/>
          <w:b w:val="0"/>
          <w:bCs w:val="0"/>
          <w:i w:val="0"/>
          <w:iCs w:val="0"/>
          <w:caps w:val="0"/>
          <w:color w:val="auto"/>
          <w:spacing w:val="0"/>
          <w:sz w:val="32"/>
          <w:szCs w:val="32"/>
          <w:highlight w:val="none"/>
          <w:u w:val="none"/>
        </w:rPr>
      </w:pPr>
      <w:r>
        <w:rPr>
          <w:rFonts w:hint="eastAsia" w:ascii="仿宋_GB2312" w:hAnsi="仿宋_GB2312" w:eastAsia="仿宋_GB2312" w:cs="仿宋_GB2312"/>
          <w:b w:val="0"/>
          <w:bCs w:val="0"/>
          <w:i w:val="0"/>
          <w:iCs w:val="0"/>
          <w:caps w:val="0"/>
          <w:color w:val="auto"/>
          <w:spacing w:val="0"/>
          <w:sz w:val="32"/>
          <w:szCs w:val="32"/>
          <w:highlight w:val="none"/>
          <w:u w:val="none"/>
        </w:rPr>
        <w:t>以习近平新时代中国特色社会主义思想为指导，深入贯彻党的二十大和二十届一中、二中全会精神，认真落实学习贯彻习近平新时代中国特色社会主义思想主题教育</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要求和省委、省政府关于卫生健康高质量发展决策部署，</w:t>
      </w:r>
      <w:r>
        <w:rPr>
          <w:rFonts w:hint="eastAsia" w:ascii="仿宋_GB2312" w:hAnsi="仿宋_GB2312" w:eastAsia="仿宋_GB2312" w:cs="仿宋_GB2312"/>
          <w:b w:val="0"/>
          <w:bCs w:val="0"/>
          <w:i w:val="0"/>
          <w:iCs w:val="0"/>
          <w:caps w:val="0"/>
          <w:color w:val="auto"/>
          <w:spacing w:val="0"/>
          <w:sz w:val="32"/>
          <w:szCs w:val="32"/>
          <w:highlight w:val="none"/>
          <w:u w:val="none"/>
        </w:rPr>
        <w:t>把保障人民健康放在优先发展的战略位置，夯实质量基础</w:t>
      </w:r>
      <w:r>
        <w:rPr>
          <w:rFonts w:hint="eastAsia" w:ascii="仿宋_GB2312" w:hAnsi="仿宋_GB2312" w:eastAsia="仿宋_GB2312" w:cs="仿宋_GB2312"/>
          <w:b w:val="0"/>
          <w:bCs w:val="0"/>
          <w:i w:val="0"/>
          <w:iCs w:val="0"/>
          <w:caps w:val="0"/>
          <w:color w:val="auto"/>
          <w:spacing w:val="0"/>
          <w:sz w:val="32"/>
          <w:szCs w:val="32"/>
          <w:highlight w:val="none"/>
          <w:u w:val="none"/>
          <w:lang w:eastAsia="zh-CN"/>
        </w:rPr>
        <w:t>，</w:t>
      </w:r>
      <w:r>
        <w:rPr>
          <w:rFonts w:hint="eastAsia" w:ascii="仿宋_GB2312" w:hAnsi="仿宋_GB2312" w:eastAsia="仿宋_GB2312" w:cs="仿宋_GB2312"/>
          <w:b w:val="0"/>
          <w:bCs w:val="0"/>
          <w:i w:val="0"/>
          <w:iCs w:val="0"/>
          <w:caps w:val="0"/>
          <w:color w:val="auto"/>
          <w:spacing w:val="0"/>
          <w:sz w:val="32"/>
          <w:szCs w:val="32"/>
          <w:highlight w:val="none"/>
          <w:u w:val="none"/>
        </w:rPr>
        <w:t>推进质量共治</w:t>
      </w:r>
      <w:r>
        <w:rPr>
          <w:rFonts w:hint="eastAsia" w:ascii="仿宋_GB2312" w:hAnsi="仿宋_GB2312" w:eastAsia="仿宋_GB2312" w:cs="仿宋_GB2312"/>
          <w:b w:val="0"/>
          <w:bCs w:val="0"/>
          <w:i w:val="0"/>
          <w:iCs w:val="0"/>
          <w:caps w:val="0"/>
          <w:color w:val="auto"/>
          <w:spacing w:val="0"/>
          <w:sz w:val="32"/>
          <w:szCs w:val="32"/>
          <w:highlight w:val="none"/>
          <w:u w:val="none"/>
          <w:lang w:eastAsia="zh-CN"/>
        </w:rPr>
        <w:t>。</w:t>
      </w:r>
      <w:r>
        <w:rPr>
          <w:rFonts w:hint="eastAsia" w:ascii="仿宋_GB2312" w:hAnsi="仿宋_GB2312" w:eastAsia="仿宋_GB2312" w:cs="仿宋_GB2312"/>
          <w:b w:val="0"/>
          <w:bCs w:val="0"/>
          <w:i w:val="0"/>
          <w:iCs w:val="0"/>
          <w:caps w:val="0"/>
          <w:color w:val="auto"/>
          <w:spacing w:val="0"/>
          <w:sz w:val="32"/>
          <w:szCs w:val="32"/>
          <w:highlight w:val="none"/>
          <w:u w:val="none"/>
        </w:rPr>
        <w:t>以满足人民日益增长的美好生活需要为根本目的，以推动医疗卫生服务高质量发展为主题，以提高供给质量为主攻方向，</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以促进同质化为主要策略，</w:t>
      </w:r>
      <w:r>
        <w:rPr>
          <w:rFonts w:hint="eastAsia" w:ascii="仿宋_GB2312" w:hAnsi="仿宋_GB2312" w:eastAsia="仿宋_GB2312" w:cs="仿宋_GB2312"/>
          <w:b w:val="0"/>
          <w:bCs w:val="0"/>
          <w:i w:val="0"/>
          <w:iCs w:val="0"/>
          <w:caps w:val="0"/>
          <w:color w:val="auto"/>
          <w:spacing w:val="0"/>
          <w:sz w:val="32"/>
          <w:szCs w:val="32"/>
          <w:highlight w:val="none"/>
          <w:u w:val="none"/>
        </w:rPr>
        <w:t>中西医并重，加强全面质量安全管理，促进优质医疗资源扩容和区域均衡布局，不断增强人民群众</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就医</w:t>
      </w:r>
      <w:r>
        <w:rPr>
          <w:rFonts w:hint="eastAsia" w:ascii="仿宋_GB2312" w:hAnsi="仿宋_GB2312" w:eastAsia="仿宋_GB2312" w:cs="仿宋_GB2312"/>
          <w:b w:val="0"/>
          <w:bCs w:val="0"/>
          <w:i w:val="0"/>
          <w:iCs w:val="0"/>
          <w:caps w:val="0"/>
          <w:color w:val="auto"/>
          <w:spacing w:val="0"/>
          <w:sz w:val="32"/>
          <w:szCs w:val="32"/>
          <w:highlight w:val="none"/>
          <w:u w:val="none"/>
        </w:rPr>
        <w:t>获得感、幸福感、安全感。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楷体_GB2312" w:hAnsi="楷体_GB2312" w:eastAsia="楷体_GB2312" w:cs="楷体_GB2312"/>
          <w:b w:val="0"/>
          <w:bCs w:val="0"/>
          <w:i w:val="0"/>
          <w:iCs w:val="0"/>
          <w:caps w:val="0"/>
          <w:color w:val="auto"/>
          <w:spacing w:val="0"/>
          <w:sz w:val="32"/>
          <w:szCs w:val="32"/>
          <w:highlight w:val="none"/>
          <w:u w:val="none"/>
          <w:lang w:val="en-US" w:eastAsia="zh-CN"/>
        </w:rPr>
      </w:pPr>
      <w:r>
        <w:rPr>
          <w:rFonts w:hint="eastAsia" w:ascii="楷体_GB2312" w:hAnsi="楷体_GB2312" w:eastAsia="楷体_GB2312" w:cs="楷体_GB2312"/>
          <w:b w:val="0"/>
          <w:bCs w:val="0"/>
          <w:i w:val="0"/>
          <w:iCs w:val="0"/>
          <w:caps w:val="0"/>
          <w:color w:val="auto"/>
          <w:spacing w:val="0"/>
          <w:sz w:val="32"/>
          <w:szCs w:val="32"/>
          <w:highlight w:val="none"/>
          <w:u w:val="none"/>
          <w:lang w:eastAsia="zh-CN"/>
        </w:rPr>
        <w:t>（</w:t>
      </w:r>
      <w:r>
        <w:rPr>
          <w:rFonts w:hint="eastAsia" w:ascii="楷体_GB2312" w:hAnsi="楷体_GB2312" w:eastAsia="楷体_GB2312" w:cs="楷体_GB2312"/>
          <w:b w:val="0"/>
          <w:bCs w:val="0"/>
          <w:i w:val="0"/>
          <w:iCs w:val="0"/>
          <w:caps w:val="0"/>
          <w:color w:val="auto"/>
          <w:spacing w:val="0"/>
          <w:sz w:val="32"/>
          <w:szCs w:val="32"/>
          <w:highlight w:val="none"/>
          <w:u w:val="none"/>
          <w:lang w:val="en-US" w:eastAsia="zh-CN"/>
        </w:rPr>
        <w:t>二</w:t>
      </w:r>
      <w:r>
        <w:rPr>
          <w:rFonts w:hint="eastAsia" w:ascii="楷体_GB2312" w:hAnsi="楷体_GB2312" w:eastAsia="楷体_GB2312" w:cs="楷体_GB2312"/>
          <w:b w:val="0"/>
          <w:bCs w:val="0"/>
          <w:i w:val="0"/>
          <w:iCs w:val="0"/>
          <w:caps w:val="0"/>
          <w:color w:val="auto"/>
          <w:spacing w:val="0"/>
          <w:sz w:val="32"/>
          <w:szCs w:val="32"/>
          <w:highlight w:val="none"/>
          <w:u w:val="none"/>
          <w:lang w:eastAsia="zh-CN"/>
        </w:rPr>
        <w:t>）</w:t>
      </w:r>
      <w:r>
        <w:rPr>
          <w:rFonts w:hint="eastAsia" w:ascii="楷体_GB2312" w:hAnsi="楷体_GB2312" w:eastAsia="楷体_GB2312" w:cs="楷体_GB2312"/>
          <w:b w:val="0"/>
          <w:bCs w:val="0"/>
          <w:i w:val="0"/>
          <w:iCs w:val="0"/>
          <w:caps w:val="0"/>
          <w:color w:val="auto"/>
          <w:spacing w:val="0"/>
          <w:sz w:val="32"/>
          <w:szCs w:val="32"/>
          <w:highlight w:val="none"/>
          <w:u w:val="none"/>
          <w:lang w:val="en-US" w:eastAsia="zh-CN"/>
        </w:rPr>
        <w:t>基本原则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1.坚持党建引领。医疗质量持续改进需要完成管理模式从经验式到科学化、从粗放式到精细化的转型。卫生健康行政部门、医疗机构要将主题教育与业务工作充分融合，准确把握习近平新时代中国特色社会主义思想的世界观和方法论，坚持好、运用好贯穿其中的立场观点方法，全面掌握本地、本机构医疗服务与质量安全基本情况、目标要求、核心问题、关键难题，实行清单化管理、项目化实施、责任化推进、节点化督办，为全面建设现代化河南开好局、起好步提供健康保障。</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rightChars="0" w:firstLine="640" w:firstLineChars="200"/>
        <w:jc w:val="both"/>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2.坚持系统观念。系统观念是基础性的思想和工作方法。医院评审旨在引导医疗机构重视日常质量管理与绩效，不断加强内涵建设，促进高质量发展</w:t>
      </w:r>
      <w:r>
        <w:rPr>
          <w:rFonts w:hint="eastAsia" w:ascii="仿宋_GB2312" w:hAnsi="仿宋_GB2312" w:eastAsia="仿宋_GB2312" w:cs="仿宋_GB2312"/>
          <w:b w:val="0"/>
          <w:bCs w:val="0"/>
          <w:i w:val="0"/>
          <w:iCs w:val="0"/>
          <w:caps w:val="0"/>
          <w:color w:val="auto"/>
          <w:spacing w:val="0"/>
          <w:sz w:val="32"/>
          <w:szCs w:val="32"/>
          <w:highlight w:val="none"/>
          <w:u w:val="none"/>
          <w:lang w:eastAsia="zh-CN"/>
        </w:rPr>
        <w:t>；</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公立医院绩效考核是基于医疗质量安全为基础的结果性评价，医疗质量管理作为贯穿发展的主线，要系统谋划、系统推进、系统压实责任，</w:t>
      </w:r>
      <w:r>
        <w:rPr>
          <w:rFonts w:hint="eastAsia" w:ascii="仿宋_GB2312" w:hAnsi="仿宋_GB2312" w:eastAsia="仿宋_GB2312" w:cs="仿宋_GB2312"/>
          <w:b w:val="0"/>
          <w:bCs w:val="0"/>
          <w:i w:val="0"/>
          <w:iCs w:val="0"/>
          <w:caps w:val="0"/>
          <w:color w:val="auto"/>
          <w:spacing w:val="0"/>
          <w:sz w:val="32"/>
          <w:szCs w:val="32"/>
          <w:highlight w:val="none"/>
          <w:u w:val="none"/>
          <w:lang w:eastAsia="zh-CN"/>
        </w:rPr>
        <w:t>支撑、</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促进医疗机构最大限度实现“以患者为中心，以质量为核心，以提升服务体验为目标”。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3.坚持固本强基。医疗机构是医疗质量的责任主体和基本保障。医疗机构以及医务人员在诊疗活动中，应严格遵守《医师法》《护士条例》《医疗质量管理办法》等法律法规、部门规章，以严格落实《医疗质量安全核心制度》为主线，加强三基三严管理，关注基础医疗质量。不断完善医疗质量管理体系、组织架构、制度机制，夯实医疗质量基础。</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4.坚持守正创新。医疗质量是医院管理与发展的基础，高质量发展战略提出有效提升医疗质量的新任务，要求进一步拓展认知广度和深度，以科学的态度，一切围绕满足患者需求和保障患者安全，扬优势、补短板，突出变革重塑导向，培育质量安全文化，以主动的制度完善促进诊疗行为的持续规范，以守正创新的意识引领医疗质量的持续提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5.坚持专业带动。各级各专业医疗质量控制中心</w:t>
      </w:r>
      <w:r>
        <w:rPr>
          <w:rFonts w:hint="eastAsia" w:ascii="仿宋_GB2312" w:hAnsi="仿宋_GB2312" w:eastAsia="仿宋_GB2312" w:cs="仿宋_GB2312"/>
          <w:b w:val="0"/>
          <w:bCs w:val="0"/>
          <w:i w:val="0"/>
          <w:iCs w:val="0"/>
          <w:caps w:val="0"/>
          <w:color w:val="auto"/>
          <w:spacing w:val="0"/>
          <w:sz w:val="32"/>
          <w:szCs w:val="32"/>
          <w:highlight w:val="none"/>
          <w:u w:val="none"/>
          <w:lang w:eastAsia="zh-CN"/>
        </w:rPr>
        <w:t>（以下简称“质控中心”）</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要严格按照《河南省医疗质量控制中心管理办法》等要求，以目标为引领，以问题为导向，落实各项管理制度，坚持公益性，充分发挥专业</w:t>
      </w:r>
      <w:r>
        <w:rPr>
          <w:rFonts w:hint="eastAsia" w:ascii="仿宋_GB2312" w:hAnsi="仿宋_GB2312" w:eastAsia="仿宋_GB2312" w:cs="仿宋_GB2312"/>
          <w:b w:val="0"/>
          <w:bCs w:val="0"/>
          <w:i w:val="0"/>
          <w:iCs w:val="0"/>
          <w:caps w:val="0"/>
          <w:color w:val="auto"/>
          <w:spacing w:val="0"/>
          <w:sz w:val="32"/>
          <w:szCs w:val="32"/>
          <w:highlight w:val="none"/>
          <w:u w:val="none"/>
          <w:lang w:eastAsia="zh-CN"/>
        </w:rPr>
        <w:t>带动</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作用。通过加强自身能力建设，不断改进工作方法，提高质量管理素养，寻求医疗质量提升突破点，为医疗机构提供专业支持，为卫生健康行政部门精准施策提供专业保障。</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rightChars="0" w:firstLine="640" w:firstLineChars="200"/>
        <w:jc w:val="both"/>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6.坚持信息赋能。卫生健康行政部门、医疗机构、质控中心要高度重视信息化建设，将具备数字思维的意识转变为应用数字思维指导工作实践的能力。将智慧医院建设纳入工作中、长期规划和年度计划，以电子病历提档升级为契机，加强医疗机构临床决策支持系统（Clinical Decision Support System,以下简称CDSS）应用，将医疗质量安全核心制度等管理规范关键点，作为完善电子病历系统的关键着力点加强建设，提高质量控制的可及性、精准性、时效性。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黑体" w:hAnsi="黑体" w:eastAsia="黑体" w:cs="黑体"/>
          <w:b w:val="0"/>
          <w:bCs w:val="0"/>
          <w:i w:val="0"/>
          <w:iCs w:val="0"/>
          <w:caps w:val="0"/>
          <w:color w:val="auto"/>
          <w:spacing w:val="0"/>
          <w:sz w:val="32"/>
          <w:szCs w:val="32"/>
          <w:highlight w:val="none"/>
          <w:u w:val="none"/>
        </w:rPr>
      </w:pPr>
      <w:r>
        <w:rPr>
          <w:rFonts w:hint="eastAsia" w:ascii="黑体" w:hAnsi="黑体" w:eastAsia="黑体" w:cs="黑体"/>
          <w:b w:val="0"/>
          <w:bCs w:val="0"/>
          <w:i w:val="0"/>
          <w:iCs w:val="0"/>
          <w:caps w:val="0"/>
          <w:color w:val="auto"/>
          <w:spacing w:val="0"/>
          <w:sz w:val="32"/>
          <w:szCs w:val="32"/>
          <w:highlight w:val="none"/>
          <w:u w:val="none"/>
          <w:lang w:val="en-US" w:eastAsia="zh-CN"/>
        </w:rPr>
        <w:t>二、</w:t>
      </w:r>
      <w:r>
        <w:rPr>
          <w:rFonts w:hint="eastAsia" w:ascii="黑体" w:hAnsi="黑体" w:eastAsia="黑体" w:cs="黑体"/>
          <w:b w:val="0"/>
          <w:bCs w:val="0"/>
          <w:i w:val="0"/>
          <w:iCs w:val="0"/>
          <w:caps w:val="0"/>
          <w:color w:val="auto"/>
          <w:spacing w:val="0"/>
          <w:sz w:val="32"/>
          <w:szCs w:val="32"/>
          <w:highlight w:val="none"/>
          <w:u w:val="none"/>
        </w:rPr>
        <w:t>行动</w:t>
      </w:r>
      <w:r>
        <w:rPr>
          <w:rFonts w:hint="eastAsia" w:ascii="黑体" w:hAnsi="黑体" w:eastAsia="黑体" w:cs="黑体"/>
          <w:b w:val="0"/>
          <w:bCs w:val="0"/>
          <w:i w:val="0"/>
          <w:iCs w:val="0"/>
          <w:caps w:val="0"/>
          <w:color w:val="auto"/>
          <w:spacing w:val="0"/>
          <w:sz w:val="32"/>
          <w:szCs w:val="32"/>
          <w:highlight w:val="none"/>
          <w:u w:val="none"/>
          <w:lang w:val="en-US" w:eastAsia="zh-CN"/>
        </w:rPr>
        <w:t>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楷体_GB2312" w:hAnsi="楷体_GB2312" w:eastAsia="楷体_GB2312" w:cs="楷体_GB2312"/>
          <w:b w:val="0"/>
          <w:bCs w:val="0"/>
          <w:i w:val="0"/>
          <w:iCs w:val="0"/>
          <w:caps w:val="0"/>
          <w:color w:val="auto"/>
          <w:spacing w:val="0"/>
          <w:sz w:val="32"/>
          <w:szCs w:val="32"/>
          <w:highlight w:val="none"/>
          <w:u w:val="none"/>
          <w:lang w:val="en-US" w:eastAsia="zh-CN"/>
        </w:rPr>
      </w:pPr>
      <w:r>
        <w:rPr>
          <w:rFonts w:hint="eastAsia" w:ascii="楷体_GB2312" w:hAnsi="楷体_GB2312" w:eastAsia="楷体_GB2312" w:cs="楷体_GB2312"/>
          <w:b w:val="0"/>
          <w:bCs w:val="0"/>
          <w:i w:val="0"/>
          <w:iCs w:val="0"/>
          <w:caps w:val="0"/>
          <w:color w:val="auto"/>
          <w:spacing w:val="0"/>
          <w:sz w:val="32"/>
          <w:szCs w:val="32"/>
          <w:highlight w:val="none"/>
          <w:u w:val="none"/>
          <w:lang w:eastAsia="zh-CN"/>
        </w:rPr>
        <w:t>（</w:t>
      </w:r>
      <w:r>
        <w:rPr>
          <w:rFonts w:hint="eastAsia" w:ascii="楷体_GB2312" w:hAnsi="楷体_GB2312" w:eastAsia="楷体_GB2312" w:cs="楷体_GB2312"/>
          <w:b w:val="0"/>
          <w:bCs w:val="0"/>
          <w:i w:val="0"/>
          <w:iCs w:val="0"/>
          <w:caps w:val="0"/>
          <w:color w:val="auto"/>
          <w:spacing w:val="0"/>
          <w:sz w:val="32"/>
          <w:szCs w:val="32"/>
          <w:highlight w:val="none"/>
          <w:u w:val="none"/>
          <w:lang w:val="en-US" w:eastAsia="zh-CN"/>
        </w:rPr>
        <w:t>一</w:t>
      </w:r>
      <w:r>
        <w:rPr>
          <w:rFonts w:hint="eastAsia" w:ascii="楷体_GB2312" w:hAnsi="楷体_GB2312" w:eastAsia="楷体_GB2312" w:cs="楷体_GB2312"/>
          <w:b w:val="0"/>
          <w:bCs w:val="0"/>
          <w:i w:val="0"/>
          <w:iCs w:val="0"/>
          <w:caps w:val="0"/>
          <w:color w:val="auto"/>
          <w:spacing w:val="0"/>
          <w:sz w:val="32"/>
          <w:szCs w:val="32"/>
          <w:highlight w:val="none"/>
          <w:u w:val="none"/>
          <w:lang w:eastAsia="zh-CN"/>
        </w:rPr>
        <w:t>）</w:t>
      </w:r>
      <w:r>
        <w:rPr>
          <w:rFonts w:hint="eastAsia" w:ascii="楷体_GB2312" w:hAnsi="楷体_GB2312" w:eastAsia="楷体_GB2312" w:cs="楷体_GB2312"/>
          <w:b w:val="0"/>
          <w:bCs w:val="0"/>
          <w:i w:val="0"/>
          <w:iCs w:val="0"/>
          <w:caps w:val="0"/>
          <w:color w:val="auto"/>
          <w:spacing w:val="0"/>
          <w:sz w:val="32"/>
          <w:szCs w:val="32"/>
          <w:highlight w:val="none"/>
          <w:u w:val="none"/>
          <w:lang w:val="en-US" w:eastAsia="zh-CN"/>
        </w:rPr>
        <w:t>行动目标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仿宋_GB2312" w:hAnsi="仿宋_GB2312" w:eastAsia="仿宋_GB2312" w:cs="仿宋_GB2312"/>
          <w:b w:val="0"/>
          <w:bCs w:val="0"/>
          <w:i w:val="0"/>
          <w:iCs w:val="0"/>
          <w:caps w:val="0"/>
          <w:color w:val="auto"/>
          <w:spacing w:val="0"/>
          <w:sz w:val="32"/>
          <w:szCs w:val="32"/>
          <w:highlight w:val="none"/>
          <w:u w:val="none"/>
        </w:rPr>
      </w:pPr>
      <w:r>
        <w:rPr>
          <w:rFonts w:hint="eastAsia" w:ascii="仿宋_GB2312" w:hAnsi="仿宋_GB2312" w:eastAsia="仿宋_GB2312" w:cs="仿宋_GB2312"/>
          <w:b w:val="0"/>
          <w:bCs w:val="0"/>
          <w:i w:val="0"/>
          <w:iCs w:val="0"/>
          <w:caps w:val="0"/>
          <w:color w:val="auto"/>
          <w:spacing w:val="0"/>
          <w:sz w:val="32"/>
          <w:szCs w:val="32"/>
          <w:highlight w:val="none"/>
          <w:u w:val="none"/>
        </w:rPr>
        <w:t>利用3年时间，在</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我省医疗卫生行业</w:t>
      </w:r>
      <w:r>
        <w:rPr>
          <w:rFonts w:hint="eastAsia" w:ascii="仿宋_GB2312" w:hAnsi="仿宋_GB2312" w:eastAsia="仿宋_GB2312" w:cs="仿宋_GB2312"/>
          <w:b w:val="0"/>
          <w:bCs w:val="0"/>
          <w:i w:val="0"/>
          <w:iCs w:val="0"/>
          <w:caps w:val="0"/>
          <w:color w:val="auto"/>
          <w:spacing w:val="0"/>
          <w:sz w:val="32"/>
          <w:szCs w:val="32"/>
          <w:highlight w:val="none"/>
          <w:u w:val="none"/>
        </w:rPr>
        <w:t>进一步树立质量安全意识，</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进一步健全</w:t>
      </w:r>
      <w:r>
        <w:rPr>
          <w:rFonts w:hint="eastAsia" w:ascii="仿宋_GB2312" w:hAnsi="仿宋_GB2312" w:eastAsia="仿宋_GB2312" w:cs="仿宋_GB2312"/>
          <w:b w:val="0"/>
          <w:bCs w:val="0"/>
          <w:i w:val="0"/>
          <w:iCs w:val="0"/>
          <w:caps w:val="0"/>
          <w:color w:val="auto"/>
          <w:spacing w:val="0"/>
          <w:sz w:val="32"/>
          <w:szCs w:val="32"/>
          <w:highlight w:val="none"/>
          <w:u w:val="none"/>
        </w:rPr>
        <w:t>完善质量安全管理体系和管理机制，</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进一步打造</w:t>
      </w:r>
      <w:r>
        <w:rPr>
          <w:rFonts w:hint="eastAsia" w:ascii="仿宋_GB2312" w:hAnsi="仿宋_GB2312" w:eastAsia="仿宋_GB2312" w:cs="仿宋_GB2312"/>
          <w:b w:val="0"/>
          <w:bCs w:val="0"/>
          <w:i w:val="0"/>
          <w:iCs w:val="0"/>
          <w:caps w:val="0"/>
          <w:color w:val="auto"/>
          <w:spacing w:val="0"/>
          <w:sz w:val="32"/>
          <w:szCs w:val="32"/>
          <w:highlight w:val="none"/>
          <w:u w:val="none"/>
        </w:rPr>
        <w:t>政府监管、机构自治、行业参与、社会监督的医疗质量安全管理多元共治</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格局</w:t>
      </w:r>
      <w:r>
        <w:rPr>
          <w:rFonts w:hint="eastAsia" w:ascii="仿宋_GB2312" w:hAnsi="仿宋_GB2312" w:eastAsia="仿宋_GB2312" w:cs="仿宋_GB2312"/>
          <w:b w:val="0"/>
          <w:bCs w:val="0"/>
          <w:i w:val="0"/>
          <w:iCs w:val="0"/>
          <w:caps w:val="0"/>
          <w:color w:val="auto"/>
          <w:spacing w:val="0"/>
          <w:sz w:val="32"/>
          <w:szCs w:val="32"/>
          <w:highlight w:val="none"/>
          <w:u w:val="none"/>
        </w:rPr>
        <w:t>，</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进一步</w:t>
      </w:r>
      <w:r>
        <w:rPr>
          <w:rFonts w:hint="eastAsia" w:ascii="仿宋_GB2312" w:hAnsi="仿宋_GB2312" w:eastAsia="仿宋_GB2312" w:cs="仿宋_GB2312"/>
          <w:b w:val="0"/>
          <w:bCs w:val="0"/>
          <w:i w:val="0"/>
          <w:iCs w:val="0"/>
          <w:caps w:val="0"/>
          <w:color w:val="auto"/>
          <w:spacing w:val="0"/>
          <w:sz w:val="32"/>
          <w:szCs w:val="32"/>
          <w:highlight w:val="none"/>
          <w:u w:val="none"/>
        </w:rPr>
        <w:t>巩固基础医疗质量安全管理，</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进一步</w:t>
      </w:r>
      <w:r>
        <w:rPr>
          <w:rFonts w:hint="eastAsia" w:ascii="仿宋_GB2312" w:hAnsi="仿宋_GB2312" w:eastAsia="仿宋_GB2312" w:cs="仿宋_GB2312"/>
          <w:b w:val="0"/>
          <w:bCs w:val="0"/>
          <w:i w:val="0"/>
          <w:iCs w:val="0"/>
          <w:caps w:val="0"/>
          <w:color w:val="auto"/>
          <w:spacing w:val="0"/>
          <w:sz w:val="32"/>
          <w:szCs w:val="32"/>
          <w:highlight w:val="none"/>
          <w:u w:val="none"/>
        </w:rPr>
        <w:t>提升医疗质量安全管理精细化、科学化、规范化程度，</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进一步</w:t>
      </w:r>
      <w:r>
        <w:rPr>
          <w:rFonts w:hint="eastAsia" w:ascii="仿宋_GB2312" w:hAnsi="仿宋_GB2312" w:eastAsia="仿宋_GB2312" w:cs="仿宋_GB2312"/>
          <w:b w:val="0"/>
          <w:bCs w:val="0"/>
          <w:i w:val="0"/>
          <w:iCs w:val="0"/>
          <w:caps w:val="0"/>
          <w:color w:val="auto"/>
          <w:spacing w:val="0"/>
          <w:sz w:val="32"/>
          <w:szCs w:val="32"/>
          <w:highlight w:val="none"/>
          <w:u w:val="none"/>
        </w:rPr>
        <w:t>优化医疗资源配置和服务均衡性，</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努力实现</w:t>
      </w:r>
      <w:r>
        <w:rPr>
          <w:rFonts w:hint="eastAsia" w:ascii="仿宋_GB2312" w:hAnsi="仿宋_GB2312" w:eastAsia="仿宋_GB2312" w:cs="仿宋_GB2312"/>
          <w:b w:val="0"/>
          <w:bCs w:val="0"/>
          <w:i w:val="0"/>
          <w:iCs w:val="0"/>
          <w:caps w:val="0"/>
          <w:color w:val="auto"/>
          <w:spacing w:val="0"/>
          <w:sz w:val="32"/>
          <w:szCs w:val="32"/>
          <w:highlight w:val="none"/>
          <w:u w:val="none"/>
        </w:rPr>
        <w:t>重大疾病诊疗能力和医疗质量安全水平</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再提升</w:t>
      </w:r>
      <w:r>
        <w:rPr>
          <w:rFonts w:hint="eastAsia" w:ascii="仿宋_GB2312" w:hAnsi="仿宋_GB2312" w:eastAsia="仿宋_GB2312" w:cs="仿宋_GB2312"/>
          <w:b w:val="0"/>
          <w:bCs w:val="0"/>
          <w:i w:val="0"/>
          <w:iCs w:val="0"/>
          <w:caps w:val="0"/>
          <w:color w:val="auto"/>
          <w:spacing w:val="0"/>
          <w:sz w:val="32"/>
          <w:szCs w:val="32"/>
          <w:highlight w:val="none"/>
          <w:u w:val="none"/>
        </w:rPr>
        <w:t>，持续改善人民群众对医疗服务的</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信任度、</w:t>
      </w:r>
      <w:r>
        <w:rPr>
          <w:rFonts w:hint="eastAsia" w:ascii="仿宋_GB2312" w:hAnsi="仿宋_GB2312" w:eastAsia="仿宋_GB2312" w:cs="仿宋_GB2312"/>
          <w:b w:val="0"/>
          <w:bCs w:val="0"/>
          <w:i w:val="0"/>
          <w:iCs w:val="0"/>
          <w:caps w:val="0"/>
          <w:color w:val="auto"/>
          <w:spacing w:val="0"/>
          <w:sz w:val="32"/>
          <w:szCs w:val="32"/>
          <w:highlight w:val="none"/>
          <w:u w:val="none"/>
        </w:rPr>
        <w:t>满意度。</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楷体_GB2312" w:hAnsi="楷体_GB2312" w:eastAsia="楷体_GB2312" w:cs="楷体_GB2312"/>
          <w:b w:val="0"/>
          <w:bCs w:val="0"/>
          <w:i w:val="0"/>
          <w:iCs w:val="0"/>
          <w:caps w:val="0"/>
          <w:color w:val="auto"/>
          <w:spacing w:val="0"/>
          <w:sz w:val="32"/>
          <w:szCs w:val="32"/>
          <w:highlight w:val="none"/>
          <w:u w:val="none"/>
          <w:lang w:val="en-US" w:eastAsia="zh-CN"/>
        </w:rPr>
      </w:pPr>
      <w:r>
        <w:rPr>
          <w:rFonts w:hint="eastAsia" w:ascii="楷体_GB2312" w:hAnsi="楷体_GB2312" w:eastAsia="楷体_GB2312" w:cs="楷体_GB2312"/>
          <w:b w:val="0"/>
          <w:bCs w:val="0"/>
          <w:i w:val="0"/>
          <w:iCs w:val="0"/>
          <w:caps w:val="0"/>
          <w:color w:val="auto"/>
          <w:spacing w:val="0"/>
          <w:sz w:val="32"/>
          <w:szCs w:val="32"/>
          <w:highlight w:val="none"/>
          <w:u w:val="none"/>
          <w:lang w:val="en-US" w:eastAsia="zh-CN"/>
        </w:rPr>
        <w:t>（二）行动范围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全省</w:t>
      </w:r>
      <w:r>
        <w:rPr>
          <w:rFonts w:hint="eastAsia" w:ascii="仿宋_GB2312" w:hAnsi="仿宋_GB2312" w:eastAsia="仿宋_GB2312" w:cs="仿宋_GB2312"/>
          <w:b w:val="0"/>
          <w:bCs w:val="0"/>
          <w:i w:val="0"/>
          <w:iCs w:val="0"/>
          <w:caps w:val="0"/>
          <w:color w:val="auto"/>
          <w:spacing w:val="0"/>
          <w:sz w:val="32"/>
          <w:szCs w:val="32"/>
          <w:highlight w:val="none"/>
          <w:u w:val="none"/>
        </w:rPr>
        <w:t>二级以上医疗机构。</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二级以下医疗机构可参照执行。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黑体" w:hAnsi="黑体" w:eastAsia="黑体" w:cs="黑体"/>
          <w:b w:val="0"/>
          <w:bCs w:val="0"/>
          <w:i w:val="0"/>
          <w:iCs w:val="0"/>
          <w:caps w:val="0"/>
          <w:color w:val="auto"/>
          <w:spacing w:val="0"/>
          <w:sz w:val="32"/>
          <w:szCs w:val="32"/>
          <w:highlight w:val="none"/>
          <w:u w:val="none"/>
          <w:lang w:val="en-US" w:eastAsia="zh-CN"/>
        </w:rPr>
      </w:pPr>
      <w:r>
        <w:rPr>
          <w:rFonts w:hint="eastAsia" w:ascii="黑体" w:hAnsi="黑体" w:eastAsia="黑体" w:cs="黑体"/>
          <w:b w:val="0"/>
          <w:bCs w:val="0"/>
          <w:i w:val="0"/>
          <w:iCs w:val="0"/>
          <w:caps w:val="0"/>
          <w:color w:val="auto"/>
          <w:spacing w:val="0"/>
          <w:sz w:val="32"/>
          <w:szCs w:val="32"/>
          <w:highlight w:val="none"/>
          <w:u w:val="none"/>
          <w:lang w:val="en-US" w:eastAsia="zh-CN"/>
        </w:rPr>
        <w:t>三、工作任务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楷体_GB2312" w:hAnsi="楷体_GB2312" w:eastAsia="楷体_GB2312" w:cs="楷体_GB2312"/>
          <w:b w:val="0"/>
          <w:bCs w:val="0"/>
          <w:i w:val="0"/>
          <w:iCs w:val="0"/>
          <w:caps w:val="0"/>
          <w:color w:val="auto"/>
          <w:spacing w:val="0"/>
          <w:sz w:val="32"/>
          <w:szCs w:val="32"/>
          <w:highlight w:val="none"/>
          <w:u w:val="none"/>
          <w:lang w:val="en-US" w:eastAsia="zh-CN"/>
        </w:rPr>
      </w:pPr>
      <w:r>
        <w:rPr>
          <w:rFonts w:hint="eastAsia" w:ascii="楷体_GB2312" w:hAnsi="楷体_GB2312" w:eastAsia="楷体_GB2312" w:cs="楷体_GB2312"/>
          <w:b w:val="0"/>
          <w:bCs w:val="0"/>
          <w:i w:val="0"/>
          <w:iCs w:val="0"/>
          <w:caps w:val="0"/>
          <w:color w:val="auto"/>
          <w:spacing w:val="0"/>
          <w:sz w:val="32"/>
          <w:szCs w:val="32"/>
          <w:highlight w:val="none"/>
          <w:u w:val="none"/>
          <w:lang w:val="en-US" w:eastAsia="zh-CN"/>
        </w:rPr>
        <w:t>（一）加强基础质量管理，夯实结构质量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2" w:firstLineChars="200"/>
        <w:jc w:val="both"/>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bCs/>
          <w:i w:val="0"/>
          <w:iCs w:val="0"/>
          <w:caps w:val="0"/>
          <w:color w:val="auto"/>
          <w:spacing w:val="0"/>
          <w:sz w:val="32"/>
          <w:szCs w:val="32"/>
          <w:highlight w:val="none"/>
          <w:u w:val="none"/>
          <w:lang w:val="en-US" w:eastAsia="zh-CN"/>
        </w:rPr>
        <w:t>1.健全医疗质量管理组织体系。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（1）扎实落实《医疗质量管理办法》，进一步健全院、科两级医疗质量安全管理体系；有条件的可结合实际，探索院、科、组三级医疗质量管理模式。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（2）成立由医疗机构主要负责人担任主任的医疗质量管理委员会并履行职责，医疗质量管理委员会成员包含但不限于</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由医疗管理、质量控制</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、护理、医院感染管理、</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医学工程、信息、后勤以及临床、</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药学、</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医技等部门负责人组成</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。建立健全各专业医疗质量管理组，由医疗质量管理委员会统筹，开展各项质量管理工作。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default" w:ascii="仿宋_GB2312" w:hAnsi="仿宋_GB2312" w:eastAsia="仿宋_GB2312" w:cs="仿宋_GB2312"/>
          <w:b w:val="0"/>
          <w:bCs w:val="0"/>
          <w:i w:val="0"/>
          <w:iCs w:val="0"/>
          <w:caps w:val="0"/>
          <w:color w:val="auto"/>
          <w:spacing w:val="0"/>
          <w:sz w:val="32"/>
          <w:szCs w:val="32"/>
          <w:highlight w:val="none"/>
          <w:u w:val="none"/>
          <w:lang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（3）成立</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医疗</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质量管理办公室，或指定专门部门具体负责医疗质量的组织、落实、监督、沟通、协调等日常管理工作。将医疗质量管理体系建设有关工作纳入本机构中长期规划、年度计划，保障经费纳入医院年度经费预算管理，确保医疗质量管理体系有效运行</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4）指定专人，担任本机构质控专员，在医疗质量管理委员会领导下，配合各级各专业质控中心组织工作。质控专员应熟练掌握医疗质量管理相关政策法规，熟知专业知识，具有较强的质控素养、责任心、积极性和纪律性，确定后应保持岗位稳定性，短期内不频繁更换。</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default" w:ascii="仿宋_GB2312" w:hAnsi="仿宋_GB2312" w:eastAsia="仿宋_GB2312" w:cs="仿宋_GB2312"/>
          <w:b w:val="0"/>
          <w:bCs w:val="0"/>
          <w:i w:val="0"/>
          <w:iCs w:val="0"/>
          <w:caps w:val="0"/>
          <w:color w:val="auto"/>
          <w:spacing w:val="0"/>
          <w:sz w:val="32"/>
          <w:szCs w:val="32"/>
          <w:highlight w:val="none"/>
          <w:u w:val="none"/>
          <w:lang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（5）各业务科室成立由主要负责人担任组长的医疗质量管理组，指定专人担任</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科室质控员</w:t>
      </w:r>
      <w:r>
        <w:rPr>
          <w:rFonts w:hint="eastAsia" w:ascii="仿宋_GB2312" w:hAnsi="仿宋_GB2312" w:eastAsia="仿宋_GB2312" w:cs="仿宋_GB2312"/>
          <w:b w:val="0"/>
          <w:bCs w:val="0"/>
          <w:i w:val="0"/>
          <w:iCs w:val="0"/>
          <w:caps w:val="0"/>
          <w:color w:val="auto"/>
          <w:spacing w:val="0"/>
          <w:sz w:val="32"/>
          <w:szCs w:val="32"/>
          <w:highlight w:val="none"/>
          <w:u w:val="none"/>
          <w:lang w:eastAsia="zh-CN"/>
        </w:rPr>
        <w:t>，</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负责日常具体工作</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2" w:firstLineChars="200"/>
        <w:jc w:val="both"/>
        <w:rPr>
          <w:rFonts w:hint="eastAsia" w:ascii="仿宋_GB2312" w:hAnsi="仿宋_GB2312" w:eastAsia="仿宋_GB2312" w:cs="仿宋_GB2312"/>
          <w:b/>
          <w:bCs/>
          <w:i w:val="0"/>
          <w:iCs w:val="0"/>
          <w:caps w:val="0"/>
          <w:color w:val="auto"/>
          <w:spacing w:val="0"/>
          <w:sz w:val="32"/>
          <w:szCs w:val="32"/>
          <w:highlight w:val="none"/>
          <w:u w:val="none"/>
          <w:lang w:val="en-US" w:eastAsia="zh-CN"/>
        </w:rPr>
      </w:pPr>
      <w:r>
        <w:rPr>
          <w:rFonts w:hint="eastAsia" w:ascii="仿宋_GB2312" w:hAnsi="仿宋_GB2312" w:eastAsia="仿宋_GB2312" w:cs="仿宋_GB2312"/>
          <w:b/>
          <w:bCs/>
          <w:i w:val="0"/>
          <w:iCs w:val="0"/>
          <w:caps w:val="0"/>
          <w:color w:val="auto"/>
          <w:spacing w:val="0"/>
          <w:sz w:val="32"/>
          <w:szCs w:val="32"/>
          <w:highlight w:val="none"/>
          <w:u w:val="none"/>
          <w:lang w:val="en-US" w:eastAsia="zh-CN"/>
        </w:rPr>
        <w:t>2.完善质量安全管理制度。</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（1）医疗机构严格按照法律法规要求，建立健全本机构各项质量安全管理制度，将信息化思维根植于重点环节和重点领域的日常管理，充分发挥</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其</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优势提升监管效能。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（2）细化、落实医疗质量安全核心制度</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（以下简称核心制度）</w:t>
      </w:r>
      <w:r>
        <w:rPr>
          <w:rFonts w:hint="eastAsia" w:ascii="仿宋_GB2312" w:hAnsi="仿宋_GB2312" w:eastAsia="仿宋_GB2312" w:cs="仿宋_GB2312"/>
          <w:b w:val="0"/>
          <w:bCs w:val="0"/>
          <w:i w:val="0"/>
          <w:iCs w:val="0"/>
          <w:caps w:val="0"/>
          <w:color w:val="auto"/>
          <w:spacing w:val="0"/>
          <w:sz w:val="32"/>
          <w:szCs w:val="32"/>
          <w:highlight w:val="none"/>
          <w:u w:val="none"/>
          <w:lang w:eastAsia="zh-CN"/>
        </w:rPr>
        <w:t>。</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将核心制度关键节点、薄弱环节等嵌入CDSS,综合分析医学知识和患者信息，为医务人员临床诊疗活动提供多种形式帮助，提高核心制度落实</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效率</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3）省病案质控中心等要按照智慧医院建设、医疗机构CDSS应用管理规范等要求，加强技术指导，探索制定信息化支撑核心制度落实的关键闭环，助力医疗机构优化、丰富信息系统功能，努力实现医疗质量常态、动态监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2" w:firstLineChars="200"/>
        <w:jc w:val="both"/>
        <w:rPr>
          <w:rFonts w:hint="eastAsia" w:ascii="仿宋_GB2312" w:hAnsi="仿宋_GB2312" w:eastAsia="仿宋_GB2312" w:cs="仿宋_GB2312"/>
          <w:b/>
          <w:bCs/>
          <w:i w:val="0"/>
          <w:iCs w:val="0"/>
          <w:caps w:val="0"/>
          <w:color w:val="auto"/>
          <w:spacing w:val="0"/>
          <w:sz w:val="32"/>
          <w:szCs w:val="32"/>
          <w:highlight w:val="none"/>
          <w:u w:val="none"/>
          <w:lang w:val="en-US" w:eastAsia="zh-CN"/>
        </w:rPr>
      </w:pPr>
      <w:r>
        <w:rPr>
          <w:rFonts w:hint="eastAsia" w:ascii="仿宋_GB2312" w:hAnsi="仿宋_GB2312" w:eastAsia="仿宋_GB2312" w:cs="仿宋_GB2312"/>
          <w:b/>
          <w:bCs/>
          <w:i w:val="0"/>
          <w:iCs w:val="0"/>
          <w:caps w:val="0"/>
          <w:color w:val="auto"/>
          <w:spacing w:val="0"/>
          <w:sz w:val="32"/>
          <w:szCs w:val="32"/>
          <w:highlight w:val="none"/>
          <w:u w:val="none"/>
          <w:lang w:val="en-US" w:eastAsia="zh-CN"/>
        </w:rPr>
        <w:t>3.优化质量安全工作机制。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1）医疗机构主要负责人每月召开医疗质量管理委员会专题会议，研究部署医疗质量安全工作。将国家年度质量安全改进目标、省级年度质控工作改进目标（以下统称“改进目标”）分解至相应部门、科室，加强质量管理工具应用，总结、分析制约本机构医疗质量进一步提升的难点、堵点，</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商定</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切实可行的措施，督促、指导相应部门、科室精准开展工作，通过促进</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质控</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指标逐渐优化，进一步树立质量安全意识，营造质量安全文化。</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（2）建立院周会质量安全反馈机制，将等级医院评审、公立医院绩效考核、公立医院高质量发展</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评价</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等任务融入日常加以落实，创办质量安全月刊，着重用数据体现包括但不限于以下内容：</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核心制度</w:t>
      </w:r>
      <w:r>
        <w:rPr>
          <w:rFonts w:hint="eastAsia" w:ascii="仿宋_GB2312" w:hAnsi="仿宋_GB2312" w:eastAsia="仿宋_GB2312" w:cs="仿宋_GB2312"/>
          <w:b w:val="0"/>
          <w:bCs w:val="0"/>
          <w:i w:val="0"/>
          <w:iCs w:val="0"/>
          <w:caps w:val="0"/>
          <w:color w:val="auto"/>
          <w:spacing w:val="0"/>
          <w:sz w:val="32"/>
          <w:szCs w:val="32"/>
          <w:highlight w:val="none"/>
          <w:u w:val="none"/>
          <w:lang w:eastAsia="zh-CN"/>
        </w:rPr>
        <w:t>、</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改进目标、质控指标等改进情况，</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医疗质量（安全）</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不良事件</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（以下简称不良事件）</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上报</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情况</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负性指标、</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病历书写质量等。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3）各部门、临床和医技等科室主要负责人组织召开医疗质量月调度会议，以问题为导向，根据医疗质量管理委员会专题会议涉及本部门、本科室“短板”数据，广泛听取意见，采取建设科室质量墙等方式，有重点、有计划、有跟进的补齐质量安全短板。医疗质量管理委员会要有步骤、全覆盖的参与部门、科室的医疗质量月调度会议，帮助解决质量管理难题，共同提升质量管理水平。</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2" w:firstLineChars="200"/>
        <w:jc w:val="both"/>
        <w:rPr>
          <w:rFonts w:hint="eastAsia" w:ascii="仿宋_GB2312" w:hAnsi="仿宋_GB2312" w:eastAsia="仿宋_GB2312" w:cs="仿宋_GB2312"/>
          <w:b/>
          <w:bCs/>
          <w:i w:val="0"/>
          <w:iCs w:val="0"/>
          <w:caps w:val="0"/>
          <w:color w:val="auto"/>
          <w:spacing w:val="0"/>
          <w:sz w:val="32"/>
          <w:szCs w:val="32"/>
          <w:highlight w:val="none"/>
          <w:u w:val="none"/>
          <w:lang w:val="en-US" w:eastAsia="zh-CN"/>
        </w:rPr>
      </w:pPr>
      <w:r>
        <w:rPr>
          <w:rFonts w:hint="eastAsia" w:ascii="仿宋_GB2312" w:hAnsi="仿宋_GB2312" w:eastAsia="仿宋_GB2312" w:cs="仿宋_GB2312"/>
          <w:b/>
          <w:bCs/>
          <w:i w:val="0"/>
          <w:iCs w:val="0"/>
          <w:caps w:val="0"/>
          <w:color w:val="auto"/>
          <w:spacing w:val="0"/>
          <w:sz w:val="32"/>
          <w:szCs w:val="32"/>
          <w:highlight w:val="none"/>
          <w:u w:val="none"/>
          <w:lang w:val="en-US" w:eastAsia="zh-CN"/>
        </w:rPr>
        <w:t>4.加强医务人员管理。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（1）按照国家有关规定强化医师、护士及医技人员准入和执业管理，规范开展医师手术分级授权、多点执业、定期考核等工作。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（2）建立能力提升长效机制，以临床诊疗指南、技术规范、操作规程等为重点，建立完善符合医院实际的题库，采取信息化</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方式助力</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培训考核，强化全体医务人员基本理论、基本知识、基本技能</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不断提升医务人员业务能力。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（3）医疗机构将改进目标、质控指标具体落实到相应科室</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及</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医务人员，树立目标管理理念，加强质量管理工具应用，逐步养成质控思维，内化于心规范诊疗行为。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（4）质控中心要广泛开展调研，结合本专业实际制定针对性的培训计划和内容，通过召开质控工作会议、质控专题培训会议等形式，助力</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医务人员</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技术水平和诊疗能力持续提升。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2" w:firstLineChars="200"/>
        <w:jc w:val="both"/>
        <w:rPr>
          <w:rFonts w:hint="default" w:ascii="仿宋_GB2312" w:hAnsi="仿宋_GB2312" w:eastAsia="仿宋_GB2312" w:cs="仿宋_GB2312"/>
          <w:b/>
          <w:bCs/>
          <w:i w:val="0"/>
          <w:iCs w:val="0"/>
          <w:caps w:val="0"/>
          <w:color w:val="auto"/>
          <w:spacing w:val="0"/>
          <w:sz w:val="32"/>
          <w:szCs w:val="32"/>
          <w:highlight w:val="none"/>
          <w:u w:val="none"/>
          <w:lang w:val="en-US" w:eastAsia="zh-CN"/>
        </w:rPr>
      </w:pPr>
      <w:r>
        <w:rPr>
          <w:rFonts w:hint="default" w:ascii="仿宋_GB2312" w:hAnsi="仿宋_GB2312" w:eastAsia="仿宋_GB2312" w:cs="仿宋_GB2312"/>
          <w:b/>
          <w:bCs/>
          <w:i w:val="0"/>
          <w:iCs w:val="0"/>
          <w:caps w:val="0"/>
          <w:color w:val="auto"/>
          <w:spacing w:val="0"/>
          <w:sz w:val="32"/>
          <w:szCs w:val="32"/>
          <w:highlight w:val="none"/>
          <w:u w:val="none"/>
          <w:lang w:val="en-US" w:eastAsia="zh-CN"/>
        </w:rPr>
        <w:t>5.强化药品器械管理。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（1）</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依法依规确定本机构药品器械供应目录，加强重点监控合理用药药品、抗微生物药物、抗肿瘤药物</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、麻醉药品、精神药品</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以及放射影像设备、植入类器械等常用设备器械的管理</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（2）</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做好药品</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器械不良反应监测报告，</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利用信息化定期总结、分析发生的原因，</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对不良反应多且安全隐患突出的药品器械要及时依法依规清退出供应目录。</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倡导非处罚性或奖励性上报制度，鼓励自觉主动上报</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药品</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、器械不良反应行为。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default" w:ascii="仿宋_GB2312" w:hAnsi="仿宋_GB2312" w:eastAsia="仿宋_GB2312" w:cs="仿宋_GB2312"/>
          <w:b w:val="0"/>
          <w:bCs w:val="0"/>
          <w:i w:val="0"/>
          <w:iCs w:val="0"/>
          <w:caps w:val="0"/>
          <w:color w:val="auto"/>
          <w:spacing w:val="0"/>
          <w:sz w:val="32"/>
          <w:szCs w:val="32"/>
          <w:highlight w:val="none"/>
          <w:u w:val="none"/>
          <w:lang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（3）省临床药学、整形美容、心血管病介入诊疗、核医学、放射影像、超声医学等质控中心要完善、落实</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本专业</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改进目标、质控指标等要求，制定切实可行的工作方案，帮助医疗机构提高医疗质量。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2" w:firstLineChars="200"/>
        <w:jc w:val="both"/>
        <w:rPr>
          <w:rFonts w:hint="default" w:ascii="仿宋_GB2312" w:hAnsi="仿宋_GB2312" w:eastAsia="仿宋_GB2312" w:cs="仿宋_GB2312"/>
          <w:b/>
          <w:bCs/>
          <w:i w:val="0"/>
          <w:iCs w:val="0"/>
          <w:caps w:val="0"/>
          <w:color w:val="auto"/>
          <w:spacing w:val="0"/>
          <w:sz w:val="32"/>
          <w:szCs w:val="32"/>
          <w:highlight w:val="none"/>
          <w:u w:val="none"/>
          <w:lang w:val="en-US" w:eastAsia="zh-CN"/>
        </w:rPr>
      </w:pPr>
      <w:r>
        <w:rPr>
          <w:rFonts w:hint="default" w:ascii="仿宋_GB2312" w:hAnsi="仿宋_GB2312" w:eastAsia="仿宋_GB2312" w:cs="仿宋_GB2312"/>
          <w:b/>
          <w:bCs/>
          <w:i w:val="0"/>
          <w:iCs w:val="0"/>
          <w:caps w:val="0"/>
          <w:color w:val="auto"/>
          <w:spacing w:val="0"/>
          <w:sz w:val="32"/>
          <w:szCs w:val="32"/>
          <w:highlight w:val="none"/>
          <w:u w:val="none"/>
          <w:lang w:val="en-US" w:eastAsia="zh-CN"/>
        </w:rPr>
        <w:t>6.规范医疗技术管理。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1）严格落实《医疗技术临床应用管理办法》，结合近年来本机构医疗技术临床应用管理专门组织履职尽责情况，调整完善组织架构。以限制类技术、内镜和介入技术等为重点，全面梳理本机构医疗技术临床应用情况，加强质量安全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（2）落实新技术、新项目准入制度</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遵循安全、有效、经济、适宜、能够进行临床应用的原则，健全审批流程，明确清单并定期更新，明确专业人员范围，加强质量控制，充分论证可能存在的安全隐患或技术风险后制定预案，实施全过程追踪管理和动态评估。</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default" w:ascii="仿宋_GB2312" w:hAnsi="仿宋_GB2312" w:eastAsia="仿宋_GB2312" w:cs="仿宋_GB2312"/>
          <w:b w:val="0"/>
          <w:bCs w:val="0"/>
          <w:i w:val="0"/>
          <w:iCs w:val="0"/>
          <w:caps w:val="0"/>
          <w:color w:val="auto"/>
          <w:spacing w:val="0"/>
          <w:sz w:val="32"/>
          <w:szCs w:val="32"/>
          <w:highlight w:val="none"/>
          <w:u w:val="none"/>
          <w:lang w:eastAsia="zh-CN"/>
        </w:rPr>
        <w:t>（3）充分发挥河南省医疗技术临床应用管理信息系统（以下简称系统）作用，医疗机构按要求、及时</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在</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系统</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进行备案，卫生健康行政部门按要求、按时予以备案。拟承担限制类技术临床应用培训基地的医疗机构，依据相</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应</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技术临床应用管理规范等进行自我评估，符合规定条件通过系统“基地备案管理”模块向省卫生健康行政部门备案。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default" w:ascii="仿宋_GB2312" w:hAnsi="仿宋_GB2312" w:eastAsia="仿宋_GB2312" w:cs="仿宋_GB2312"/>
          <w:b w:val="0"/>
          <w:bCs w:val="0"/>
          <w:i w:val="0"/>
          <w:iCs w:val="0"/>
          <w:caps w:val="0"/>
          <w:color w:val="auto"/>
          <w:spacing w:val="0"/>
          <w:sz w:val="32"/>
          <w:szCs w:val="32"/>
          <w:highlight w:val="none"/>
          <w:u w:val="none"/>
          <w:lang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（4）按照省卫生健康委关于病例信息便利化报送接口要求，积极组织开展对接工作，促进个案</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信息</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逐例、</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及时、准确、</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完整</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的予以抓取、上报</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规范诊疗行为，自觉接受</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监管。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default" w:ascii="仿宋_GB2312" w:hAnsi="仿宋_GB2312" w:eastAsia="仿宋_GB2312" w:cs="仿宋_GB2312"/>
          <w:b w:val="0"/>
          <w:bCs w:val="0"/>
          <w:i w:val="0"/>
          <w:iCs w:val="0"/>
          <w:caps w:val="0"/>
          <w:color w:val="auto"/>
          <w:spacing w:val="0"/>
          <w:sz w:val="32"/>
          <w:szCs w:val="32"/>
          <w:highlight w:val="none"/>
          <w:u w:val="none"/>
          <w:lang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5）省神经内科、呼吸内镜、消化内镜、心血管病介入诊疗、口腔医学、口腔种植等涉及限制类技术临床应用的质控中心，要完善、落实本专业改进目标、质控指标等要求，制定切实可行的工作方案，促进医疗机构依法依规执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（6）</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中医医疗技术操作要严格按照《中医医疗技术相关性感染预防与控制指南（试行）》要求，严格落实感控管理各项要求。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2" w:firstLineChars="200"/>
        <w:jc w:val="both"/>
        <w:rPr>
          <w:rFonts w:hint="default" w:ascii="仿宋_GB2312" w:hAnsi="仿宋_GB2312" w:eastAsia="仿宋_GB2312" w:cs="仿宋_GB2312"/>
          <w:b/>
          <w:bCs/>
          <w:i w:val="0"/>
          <w:iCs w:val="0"/>
          <w:caps w:val="0"/>
          <w:color w:val="auto"/>
          <w:spacing w:val="0"/>
          <w:sz w:val="32"/>
          <w:szCs w:val="32"/>
          <w:highlight w:val="none"/>
          <w:u w:val="none"/>
          <w:lang w:val="en-US" w:eastAsia="zh-CN"/>
        </w:rPr>
      </w:pPr>
      <w:r>
        <w:rPr>
          <w:rFonts w:hint="default" w:ascii="仿宋_GB2312" w:hAnsi="仿宋_GB2312" w:eastAsia="仿宋_GB2312" w:cs="仿宋_GB2312"/>
          <w:b/>
          <w:bCs/>
          <w:i w:val="0"/>
          <w:iCs w:val="0"/>
          <w:caps w:val="0"/>
          <w:color w:val="auto"/>
          <w:spacing w:val="0"/>
          <w:sz w:val="32"/>
          <w:szCs w:val="32"/>
          <w:highlight w:val="none"/>
          <w:u w:val="none"/>
          <w:lang w:val="en-US" w:eastAsia="zh-CN"/>
        </w:rPr>
        <w:t>7.提升急诊质量。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（1）</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强化院前医疗急救与院内急诊的无缝衔接机制，畅通院前医疗急救与院内急诊信息</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default" w:ascii="仿宋_GB2312" w:hAnsi="仿宋_GB2312" w:eastAsia="仿宋_GB2312" w:cs="仿宋_GB2312"/>
          <w:b w:val="0"/>
          <w:bCs w:val="0"/>
          <w:i w:val="0"/>
          <w:iCs w:val="0"/>
          <w:caps w:val="0"/>
          <w:color w:val="auto"/>
          <w:spacing w:val="0"/>
          <w:sz w:val="32"/>
          <w:szCs w:val="32"/>
          <w:highlight w:val="none"/>
          <w:u w:val="none"/>
          <w:lang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（2）</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强化预检分诊，优化急诊就诊和绿色通道流程，完善急危重症患者，特别是心血管疾病、</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脑血管疾病、</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多发性创伤、心脏骤停等急危重症患者的多学科协作救治机制，提升救治效果。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（3）落实会诊制度有关急会诊工作要求。</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完善</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急诊多学科会诊机制，严格把握指征，优化流程，定期演练，提高急会诊质量和效率。倡导利用信息化构建院内急会诊系统，规范医务人员会诊行为，对关键时间节点进行监督管理。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（4）省脑卒中、心血管病介入诊疗、创伤、急诊、院前急救等质控中心要加大对卒中、胸痛、创伤、</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急诊</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质量持续改进情况的常态化检查指导；推动和指导全省三级综合医院100%建成三级中心，确保三级卒中、胸痛中心数量质量持续保持全国领先；指导基层卒中、胸痛救治单元规范建设。</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（5）</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省</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院前急救、</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急诊等</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质控中心要</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进一步</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加强协作，联合改进院前、院内急诊无缝衔接流程，</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探索</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搭建高效共享的</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信息</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平台，进一步实现急诊救治关口前移，提高患者救治效率和成功率。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2" w:firstLineChars="200"/>
        <w:jc w:val="both"/>
        <w:rPr>
          <w:rFonts w:hint="default" w:ascii="仿宋_GB2312" w:hAnsi="仿宋_GB2312" w:eastAsia="仿宋_GB2312" w:cs="仿宋_GB2312"/>
          <w:b/>
          <w:bCs/>
          <w:i w:val="0"/>
          <w:iCs w:val="0"/>
          <w:caps w:val="0"/>
          <w:color w:val="auto"/>
          <w:spacing w:val="0"/>
          <w:sz w:val="32"/>
          <w:szCs w:val="32"/>
          <w:highlight w:val="none"/>
          <w:u w:val="none"/>
          <w:lang w:val="en-US" w:eastAsia="zh-CN"/>
        </w:rPr>
      </w:pPr>
      <w:r>
        <w:rPr>
          <w:rFonts w:hint="default" w:ascii="仿宋_GB2312" w:hAnsi="仿宋_GB2312" w:eastAsia="仿宋_GB2312" w:cs="仿宋_GB2312"/>
          <w:b/>
          <w:bCs/>
          <w:i w:val="0"/>
          <w:iCs w:val="0"/>
          <w:caps w:val="0"/>
          <w:color w:val="auto"/>
          <w:spacing w:val="0"/>
          <w:sz w:val="32"/>
          <w:szCs w:val="32"/>
          <w:highlight w:val="none"/>
          <w:u w:val="none"/>
          <w:lang w:val="en-US" w:eastAsia="zh-CN"/>
        </w:rPr>
        <w:t>8.改善门诊医疗质量。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（1）严格落实《医疗机构门诊质量管理暂行规定》等要求，将门诊质量管理纳入医疗质量管理委员会工作体系。运用现代科学管理方法，发挥信息化优势，对门诊服务要素、过程和结果进行管理与控制</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以</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持续改进。</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（2）</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严格执行首诊负责制，加强门急诊专业人员和技术力量配备</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优化流程</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科学布局</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合理调配资源、规范分诊、减少患者就诊环节、缩短服务半径</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、推进诊间结算、</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提高就诊效率。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（3）进一步推行多学科诊疗（MDT）门诊，以需求为导向，科学匹配出诊人员和时间，</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加强门诊手术、门诊化疗、门诊输液等质量安全管理，优化门诊疑难病例会诊和</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MDT诊疗</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服务，</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规范</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记录诊疗内容。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（4）健全完善人事考核制度，利用门诊信息系统，</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把门急诊工作质量作为考核科室和医务人员的重要内容。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default" w:ascii="仿宋_GB2312" w:hAnsi="仿宋_GB2312" w:eastAsia="仿宋_GB2312" w:cs="仿宋_GB2312"/>
          <w:b w:val="0"/>
          <w:bCs w:val="0"/>
          <w:i w:val="0"/>
          <w:iCs w:val="0"/>
          <w:caps w:val="0"/>
          <w:color w:val="auto"/>
          <w:spacing w:val="0"/>
          <w:sz w:val="32"/>
          <w:szCs w:val="32"/>
          <w:highlight w:val="none"/>
          <w:u w:val="none"/>
          <w:lang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（5）省门诊专业质控中心</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要</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加大《医疗机构门诊质量管理暂行规定》的宣贯，结合实际，将工作要求细化为可操作、可衡量、可改进的质控指标，完善、落实</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本专业</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改进目标，制定切实可行的工作方案，帮助医疗机构提高门诊医疗质量。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2" w:firstLineChars="200"/>
        <w:jc w:val="both"/>
        <w:rPr>
          <w:rFonts w:hint="default" w:ascii="仿宋_GB2312" w:hAnsi="仿宋_GB2312" w:eastAsia="仿宋_GB2312" w:cs="仿宋_GB2312"/>
          <w:b/>
          <w:bCs/>
          <w:i w:val="0"/>
          <w:iCs w:val="0"/>
          <w:caps w:val="0"/>
          <w:color w:val="auto"/>
          <w:spacing w:val="0"/>
          <w:sz w:val="32"/>
          <w:szCs w:val="32"/>
          <w:highlight w:val="none"/>
          <w:u w:val="none"/>
          <w:lang w:val="en-US" w:eastAsia="zh-CN"/>
        </w:rPr>
      </w:pPr>
      <w:r>
        <w:rPr>
          <w:rFonts w:hint="default" w:ascii="仿宋_GB2312" w:hAnsi="仿宋_GB2312" w:eastAsia="仿宋_GB2312" w:cs="仿宋_GB2312"/>
          <w:b/>
          <w:bCs/>
          <w:i w:val="0"/>
          <w:iCs w:val="0"/>
          <w:caps w:val="0"/>
          <w:color w:val="auto"/>
          <w:spacing w:val="0"/>
          <w:sz w:val="32"/>
          <w:szCs w:val="32"/>
          <w:highlight w:val="none"/>
          <w:u w:val="none"/>
          <w:lang w:val="en-US" w:eastAsia="zh-CN"/>
        </w:rPr>
        <w:t>9.提高日间医疗质量。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（1）认真贯彻《医疗机构日间医疗质量管理暂行规定》，落实主体责任</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加强</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日间医疗全流程质量管理</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保障日间医疗质量安全。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（2）开展日间医疗的二级以上医疗机构，在医疗质量管理委员会下设日间医疗质量管理的专门组织，由医疗管理、医保、质控、护理、医院感染、病案、信息等相关专业人员组成。</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640" w:firstLineChars="200"/>
        <w:jc w:val="both"/>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（3）</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加强日间医疗病种和技术管理，遵循科学、安全、规范的原则，制定本机构日间医疗病种及技术目录</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实行动态管理</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，按要求予以备案</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。临床科室的日间医疗病种及技术目录应当经日间医疗质量管理的专门组织审议通过；国家限制类技术不得纳入日间医疗技术目录。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（4）</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强化日间医疗科室和医师审核授权管理，</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根据</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科室申请，</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结合</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科室和医师技术能力和医疗质量安全情况，进行审核、授权，将医师授权情况纳入医师技术档案，进行动态管理。不断</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拓展</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日间医疗服务范围，提升日间医疗服务供给能力。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（5）</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加强日间医疗患者评估</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。根据患者病情，明确</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治疗前、治疗后、出院前等关键节点，</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科学制定、</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调整评估内容</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综合评估患者的一般状况、基础疾病、医疗风险等情况，明确患者是否适宜接受日间医疗。</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及时发现患者病情变化并予以</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正确</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干预，保障日间医疗患者安全。对接受有创诊疗和麻醉诊疗的患者，应当及时评估麻醉风险、手术/治疗风险、麻醉恢复情况、疼痛评分等。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6</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加强日间医疗患者随访管理，根据不同病种特点及诊疗规律，明确随访时间、频次、内容和形式等，安排专门的医务人员进行随访并准确记录，为有需要的患者提供出院后连续、安全的延伸性医疗服务；按照要求将随访记录纳入患者病案或单独建册保存；日间手术患者应当在出院后24小时内完成首次随访。</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7</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）加强日间病历质量管理。保障日间医疗病历内容客观、真实、准确、及时、完整、规范</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符合《医疗机构日间医疗质量管理暂行规定》。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8</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）各级各专业质控中心要将日间医疗质量管理纳入质控指导范围，根据本专业特点，落实相应专业质控指标要求，不断提高医疗机构日间医疗服务能力和质量。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2" w:firstLineChars="200"/>
        <w:jc w:val="both"/>
        <w:rPr>
          <w:rFonts w:hint="eastAsia" w:ascii="仿宋_GB2312" w:hAnsi="仿宋_GB2312" w:eastAsia="仿宋_GB2312" w:cs="仿宋_GB2312"/>
          <w:b/>
          <w:bCs/>
          <w:i w:val="0"/>
          <w:iCs w:val="0"/>
          <w:caps w:val="0"/>
          <w:color w:val="auto"/>
          <w:spacing w:val="0"/>
          <w:sz w:val="32"/>
          <w:szCs w:val="32"/>
          <w:highlight w:val="none"/>
          <w:u w:val="none"/>
          <w:lang w:val="en-US" w:eastAsia="zh-CN"/>
        </w:rPr>
      </w:pPr>
      <w:r>
        <w:rPr>
          <w:rFonts w:hint="default" w:ascii="仿宋_GB2312" w:hAnsi="仿宋_GB2312" w:eastAsia="仿宋_GB2312" w:cs="仿宋_GB2312"/>
          <w:b/>
          <w:bCs/>
          <w:i w:val="0"/>
          <w:iCs w:val="0"/>
          <w:caps w:val="0"/>
          <w:color w:val="auto"/>
          <w:spacing w:val="0"/>
          <w:sz w:val="32"/>
          <w:szCs w:val="32"/>
          <w:highlight w:val="none"/>
          <w:u w:val="none"/>
          <w:lang w:val="en-US" w:eastAsia="zh-CN"/>
        </w:rPr>
        <w:t>10.保障手术质量安全</w:t>
      </w:r>
      <w:r>
        <w:rPr>
          <w:rFonts w:hint="eastAsia" w:ascii="仿宋_GB2312" w:hAnsi="仿宋_GB2312" w:eastAsia="仿宋_GB2312" w:cs="仿宋_GB2312"/>
          <w:b/>
          <w:bCs/>
          <w:i w:val="0"/>
          <w:iCs w:val="0"/>
          <w:caps w:val="0"/>
          <w:color w:val="auto"/>
          <w:spacing w:val="0"/>
          <w:sz w:val="32"/>
          <w:szCs w:val="32"/>
          <w:highlight w:val="none"/>
          <w:u w:val="none"/>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详见专项行动一。</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2" w:firstLineChars="200"/>
        <w:jc w:val="both"/>
        <w:rPr>
          <w:rFonts w:hint="default" w:ascii="仿宋_GB2312" w:hAnsi="仿宋_GB2312" w:eastAsia="仿宋_GB2312" w:cs="仿宋_GB2312"/>
          <w:b/>
          <w:bCs/>
          <w:i w:val="0"/>
          <w:iCs w:val="0"/>
          <w:caps w:val="0"/>
          <w:color w:val="auto"/>
          <w:spacing w:val="0"/>
          <w:sz w:val="32"/>
          <w:szCs w:val="32"/>
          <w:highlight w:val="none"/>
          <w:u w:val="none"/>
          <w:lang w:val="en-US" w:eastAsia="zh-CN"/>
        </w:rPr>
      </w:pPr>
      <w:r>
        <w:rPr>
          <w:rFonts w:hint="default" w:ascii="仿宋_GB2312" w:hAnsi="仿宋_GB2312" w:eastAsia="仿宋_GB2312" w:cs="仿宋_GB2312"/>
          <w:b/>
          <w:bCs/>
          <w:i w:val="0"/>
          <w:iCs w:val="0"/>
          <w:caps w:val="0"/>
          <w:color w:val="auto"/>
          <w:spacing w:val="0"/>
          <w:sz w:val="32"/>
          <w:szCs w:val="32"/>
          <w:highlight w:val="none"/>
          <w:u w:val="none"/>
          <w:lang w:val="en-US" w:eastAsia="zh-CN"/>
        </w:rPr>
        <w:t>11.提高患者随访质量</w:t>
      </w:r>
      <w:r>
        <w:rPr>
          <w:rFonts w:hint="eastAsia" w:ascii="仿宋_GB2312" w:hAnsi="仿宋_GB2312" w:eastAsia="仿宋_GB2312" w:cs="仿宋_GB2312"/>
          <w:b/>
          <w:bCs/>
          <w:i w:val="0"/>
          <w:iCs w:val="0"/>
          <w:caps w:val="0"/>
          <w:color w:val="auto"/>
          <w:spacing w:val="0"/>
          <w:sz w:val="32"/>
          <w:szCs w:val="32"/>
          <w:highlight w:val="none"/>
          <w:u w:val="none"/>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（1）</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根据不同疾病特点及诊疗规律，明确随访时间、频次、形式和内容等，安排专门人员进行随访并准确记录，为有需要的患者提供出院后连续、安全的延伸性医疗服务。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（2）</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重点加强四级手术、恶性肿瘤患者的随访管理，重点关注患者出院后发生并发症、非预期再入院治疗和不良转归等情况。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（3）倡导有条件的医疗机构按照专业特点，探索分层级的随访制度，成立专门的随访部门，由具有一定医学专业背景的人员承担随访工作，对有需要的患者提供包括但不限于健康科普、复诊预约、满意度调查等</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随访服务</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（4）各级各专业质控中心要根据专业特点，为医疗机构随访部门提供技术支持，制定本专业患者随访核心内容、与判定诊疗质量相关的后续随访要素、健康教育处方等。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2" w:firstLineChars="200"/>
        <w:jc w:val="both"/>
        <w:rPr>
          <w:rFonts w:hint="eastAsia" w:ascii="仿宋_GB2312" w:hAnsi="仿宋_GB2312" w:eastAsia="仿宋_GB2312" w:cs="仿宋_GB2312"/>
          <w:b/>
          <w:bCs/>
          <w:i w:val="0"/>
          <w:iCs w:val="0"/>
          <w:caps w:val="0"/>
          <w:color w:val="auto"/>
          <w:spacing w:val="0"/>
          <w:sz w:val="32"/>
          <w:szCs w:val="32"/>
          <w:highlight w:val="none"/>
          <w:u w:val="none"/>
          <w:lang w:val="en-US" w:eastAsia="zh-CN"/>
        </w:rPr>
      </w:pPr>
      <w:r>
        <w:rPr>
          <w:rFonts w:hint="default" w:ascii="仿宋_GB2312" w:hAnsi="仿宋_GB2312" w:eastAsia="仿宋_GB2312" w:cs="仿宋_GB2312"/>
          <w:b/>
          <w:bCs/>
          <w:i w:val="0"/>
          <w:iCs w:val="0"/>
          <w:caps w:val="0"/>
          <w:color w:val="auto"/>
          <w:spacing w:val="0"/>
          <w:sz w:val="32"/>
          <w:szCs w:val="32"/>
          <w:highlight w:val="none"/>
          <w:u w:val="none"/>
          <w:lang w:val="en-US" w:eastAsia="zh-CN"/>
        </w:rPr>
        <w:t>12.优化要素配置和运行机制</w:t>
      </w:r>
      <w:r>
        <w:rPr>
          <w:rFonts w:hint="eastAsia" w:ascii="仿宋_GB2312" w:hAnsi="仿宋_GB2312" w:eastAsia="仿宋_GB2312" w:cs="仿宋_GB2312"/>
          <w:b/>
          <w:bCs/>
          <w:i w:val="0"/>
          <w:iCs w:val="0"/>
          <w:caps w:val="0"/>
          <w:color w:val="auto"/>
          <w:spacing w:val="0"/>
          <w:sz w:val="32"/>
          <w:szCs w:val="32"/>
          <w:highlight w:val="none"/>
          <w:u w:val="none"/>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详见专项行动二。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楷体_GB2312" w:hAnsi="楷体_GB2312" w:eastAsia="楷体_GB2312" w:cs="楷体_GB2312"/>
          <w:b w:val="0"/>
          <w:bCs w:val="0"/>
          <w:i w:val="0"/>
          <w:iCs w:val="0"/>
          <w:caps w:val="0"/>
          <w:color w:val="auto"/>
          <w:spacing w:val="0"/>
          <w:sz w:val="32"/>
          <w:szCs w:val="32"/>
          <w:highlight w:val="none"/>
          <w:u w:val="none"/>
          <w:lang w:val="en-US" w:eastAsia="zh-CN"/>
        </w:rPr>
      </w:pPr>
      <w:r>
        <w:rPr>
          <w:rFonts w:hint="eastAsia" w:ascii="楷体_GB2312" w:hAnsi="楷体_GB2312" w:eastAsia="楷体_GB2312" w:cs="楷体_GB2312"/>
          <w:b w:val="0"/>
          <w:bCs w:val="0"/>
          <w:i w:val="0"/>
          <w:iCs w:val="0"/>
          <w:caps w:val="0"/>
          <w:color w:val="auto"/>
          <w:spacing w:val="0"/>
          <w:sz w:val="32"/>
          <w:szCs w:val="32"/>
          <w:highlight w:val="none"/>
          <w:u w:val="none"/>
          <w:lang w:val="en-US" w:eastAsia="zh-CN"/>
        </w:rPr>
        <w:t>（二）强化关键环节和行为管理，提高过程质量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2" w:firstLineChars="200"/>
        <w:jc w:val="both"/>
        <w:rPr>
          <w:rFonts w:hint="default" w:ascii="仿宋_GB2312" w:hAnsi="仿宋_GB2312" w:eastAsia="仿宋_GB2312" w:cs="仿宋_GB2312"/>
          <w:b/>
          <w:bCs/>
          <w:i w:val="0"/>
          <w:iCs w:val="0"/>
          <w:caps w:val="0"/>
          <w:color w:val="auto"/>
          <w:spacing w:val="0"/>
          <w:sz w:val="32"/>
          <w:szCs w:val="32"/>
          <w:highlight w:val="none"/>
          <w:u w:val="none"/>
          <w:lang w:val="en-US" w:eastAsia="zh-CN"/>
        </w:rPr>
      </w:pPr>
      <w:r>
        <w:rPr>
          <w:rFonts w:hint="default" w:ascii="仿宋_GB2312" w:hAnsi="仿宋_GB2312" w:eastAsia="仿宋_GB2312" w:cs="仿宋_GB2312"/>
          <w:b/>
          <w:bCs/>
          <w:i w:val="0"/>
          <w:iCs w:val="0"/>
          <w:caps w:val="0"/>
          <w:color w:val="auto"/>
          <w:spacing w:val="0"/>
          <w:sz w:val="32"/>
          <w:szCs w:val="32"/>
          <w:highlight w:val="none"/>
          <w:u w:val="none"/>
          <w:lang w:val="en-US" w:eastAsia="zh-CN"/>
        </w:rPr>
        <w:t>13.严格规范日常诊疗行为。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（1）</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严格遵循临床诊疗指南、技术操作规范、行业标准和临床路径等有关要求开展诊疗工作，严格遵守医疗质量安全核心制度，掌握各类检查、治疗的适应证，做到合理检查、合理用药、合理治疗。</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2）倡导将临床诊疗指南、技术操作规范、行业标准、临床路径、临床检验检查、用药规范等内容按照CDSS应用管理规范要求，充分纳入医院信息系统，对违反指南、技术规范等不合理检查检验、用药等情况予以提醒、提示，引导医师规范诊疗行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（3）省级质控中心要发挥地区内专业引领作用，通过质控指导、业务培训等方式提升医务人员规范化诊疗意识；加强对国家和省级《</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医疗服务与质量安全报告</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》的应用，通过数据分析</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客观呈现辖区内制约规范诊疗进一步提升的难点，制定切实可行的工作方案，不断规范医务人员日常诊疗行为。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2" w:firstLineChars="200"/>
        <w:jc w:val="both"/>
        <w:rPr>
          <w:rFonts w:hint="default" w:ascii="仿宋_GB2312" w:hAnsi="仿宋_GB2312" w:eastAsia="仿宋_GB2312" w:cs="仿宋_GB2312"/>
          <w:b/>
          <w:bCs/>
          <w:i w:val="0"/>
          <w:iCs w:val="0"/>
          <w:caps w:val="0"/>
          <w:color w:val="auto"/>
          <w:spacing w:val="0"/>
          <w:sz w:val="32"/>
          <w:szCs w:val="32"/>
          <w:highlight w:val="none"/>
          <w:u w:val="none"/>
          <w:lang w:val="en-US" w:eastAsia="zh-CN"/>
        </w:rPr>
      </w:pPr>
      <w:r>
        <w:rPr>
          <w:rFonts w:hint="default" w:ascii="仿宋_GB2312" w:hAnsi="仿宋_GB2312" w:eastAsia="仿宋_GB2312" w:cs="仿宋_GB2312"/>
          <w:b/>
          <w:bCs/>
          <w:i w:val="0"/>
          <w:iCs w:val="0"/>
          <w:caps w:val="0"/>
          <w:color w:val="auto"/>
          <w:spacing w:val="0"/>
          <w:sz w:val="32"/>
          <w:szCs w:val="32"/>
          <w:highlight w:val="none"/>
          <w:u w:val="none"/>
          <w:lang w:val="en-US" w:eastAsia="zh-CN"/>
        </w:rPr>
        <w:t>14.全面加强患者评估</w:t>
      </w:r>
      <w:r>
        <w:rPr>
          <w:rFonts w:hint="eastAsia" w:ascii="仿宋_GB2312" w:hAnsi="仿宋_GB2312" w:eastAsia="仿宋_GB2312" w:cs="仿宋_GB2312"/>
          <w:b/>
          <w:bCs/>
          <w:i w:val="0"/>
          <w:iCs w:val="0"/>
          <w:caps w:val="0"/>
          <w:color w:val="auto"/>
          <w:spacing w:val="0"/>
          <w:sz w:val="32"/>
          <w:szCs w:val="32"/>
          <w:highlight w:val="none"/>
          <w:u w:val="none"/>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（1）</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在住院当日、围手术（治疗）期、出院前等关键时间节点强化患者评估，规范评估流程、掌握评估策略、使用评估工具，提高评估的科学性、准确性</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（2）严格落实首诊负责制，</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密切监测患者病情变化及心理状态，并及时进行再评估，根据评估情况科学调整诊疗方案，保障诊疗措施的及时性、规范性。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3）省级质控中心要根据专业特点，结合工作实际，制定出规范的评估流程、评估内容、规范评估工具等，将患者评估、评估工具应用等作为质控中心培训的重要内容，不断提高医务人员的评估意识、能力和质量，引导延伸对患者的关注链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2" w:firstLineChars="200"/>
        <w:jc w:val="both"/>
        <w:rPr>
          <w:rFonts w:hint="default" w:ascii="仿宋_GB2312" w:hAnsi="仿宋_GB2312" w:eastAsia="仿宋_GB2312" w:cs="仿宋_GB2312"/>
          <w:b/>
          <w:bCs/>
          <w:i w:val="0"/>
          <w:iCs w:val="0"/>
          <w:caps w:val="0"/>
          <w:color w:val="auto"/>
          <w:spacing w:val="0"/>
          <w:sz w:val="32"/>
          <w:szCs w:val="32"/>
          <w:highlight w:val="none"/>
          <w:u w:val="none"/>
          <w:lang w:val="en-US" w:eastAsia="zh-CN"/>
        </w:rPr>
      </w:pPr>
      <w:r>
        <w:rPr>
          <w:rFonts w:hint="default" w:ascii="仿宋_GB2312" w:hAnsi="仿宋_GB2312" w:eastAsia="仿宋_GB2312" w:cs="仿宋_GB2312"/>
          <w:b/>
          <w:bCs/>
          <w:i w:val="0"/>
          <w:iCs w:val="0"/>
          <w:caps w:val="0"/>
          <w:color w:val="auto"/>
          <w:spacing w:val="0"/>
          <w:sz w:val="32"/>
          <w:szCs w:val="32"/>
          <w:highlight w:val="none"/>
          <w:u w:val="none"/>
          <w:lang w:val="en-US" w:eastAsia="zh-CN"/>
        </w:rPr>
        <w:t>15.提升三级查房质量</w:t>
      </w:r>
      <w:r>
        <w:rPr>
          <w:rFonts w:hint="eastAsia" w:ascii="仿宋_GB2312" w:hAnsi="仿宋_GB2312" w:eastAsia="仿宋_GB2312" w:cs="仿宋_GB2312"/>
          <w:b/>
          <w:bCs/>
          <w:i w:val="0"/>
          <w:iCs w:val="0"/>
          <w:caps w:val="0"/>
          <w:color w:val="auto"/>
          <w:spacing w:val="0"/>
          <w:sz w:val="32"/>
          <w:szCs w:val="32"/>
          <w:highlight w:val="none"/>
          <w:u w:val="none"/>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（1）</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严格落实三级查房制度，保障临床科室对患者的查房频次、形式和内容符合规定</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。倡导将三级查房制度的落实纳入医院信息系统管理，提醒、提示相关人员在规定时间内完成查房及相应记录；探索采集关键节点信息以评估医师实际查房情况的有效措施。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（2）</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倡导医疗、护理、药事联合查房，</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必要时可根据患者病情和诊疗需要联合康复、心理、营养、疼痛、放射影像等专业进行查房，整合医疗资源，促进明确诊断，合理用药等，</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促进</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患者</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快速康复</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（3）</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倡导中西医联合查房，</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增强诊疗能力，</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及时掌握患者病情变化，针对性调整诊疗方案。</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医疗机构要利用信息系统</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制定完善并实施中医优势病种诊疗方案和临床路径，逐步提高重大疑难疾病诊疗能力和水平。</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（4）</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对四级手术患者和疑难危重患者要进行重点查房，推行多学科联合查房</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提高临床诊断准确率、</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治疗</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有效</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率</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（5）各专业质控中心要在日常</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质控</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培训工作中，注重核心制度的贯彻落实，探索明确符合专业实际的三级查房核心要素，提高三级查房工作质量。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2" w:firstLineChars="200"/>
        <w:jc w:val="both"/>
        <w:rPr>
          <w:rFonts w:hint="default" w:ascii="仿宋_GB2312" w:hAnsi="仿宋_GB2312" w:eastAsia="仿宋_GB2312" w:cs="仿宋_GB2312"/>
          <w:b/>
          <w:bCs/>
          <w:i w:val="0"/>
          <w:iCs w:val="0"/>
          <w:caps w:val="0"/>
          <w:color w:val="auto"/>
          <w:spacing w:val="0"/>
          <w:sz w:val="32"/>
          <w:szCs w:val="32"/>
          <w:highlight w:val="none"/>
          <w:u w:val="none"/>
          <w:lang w:val="en-US" w:eastAsia="zh-CN"/>
        </w:rPr>
      </w:pPr>
      <w:r>
        <w:rPr>
          <w:rFonts w:hint="default" w:ascii="仿宋_GB2312" w:hAnsi="仿宋_GB2312" w:eastAsia="仿宋_GB2312" w:cs="仿宋_GB2312"/>
          <w:b/>
          <w:bCs/>
          <w:i w:val="0"/>
          <w:iCs w:val="0"/>
          <w:caps w:val="0"/>
          <w:color w:val="auto"/>
          <w:spacing w:val="0"/>
          <w:sz w:val="32"/>
          <w:szCs w:val="32"/>
          <w:highlight w:val="none"/>
          <w:u w:val="none"/>
          <w:lang w:val="en-US" w:eastAsia="zh-CN"/>
        </w:rPr>
        <w:t>16.提升合理用药水平</w:t>
      </w:r>
      <w:r>
        <w:rPr>
          <w:rFonts w:hint="eastAsia" w:ascii="仿宋_GB2312" w:hAnsi="仿宋_GB2312" w:eastAsia="仿宋_GB2312" w:cs="仿宋_GB2312"/>
          <w:b/>
          <w:bCs/>
          <w:i w:val="0"/>
          <w:iCs w:val="0"/>
          <w:caps w:val="0"/>
          <w:color w:val="auto"/>
          <w:spacing w:val="0"/>
          <w:sz w:val="32"/>
          <w:szCs w:val="32"/>
          <w:highlight w:val="none"/>
          <w:u w:val="none"/>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（1）</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规范医师处方行为，按照安全、有效、经济、适宜的合理用药原则开具处方。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（2）</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推行临床药师制，</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通过落实等级医院评审等要求，配备临床药师，不断加强临床药师队伍建设。</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（3）</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发挥药师在处方审核、处方点评、药学监护等合理用药管理方面的作用。</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倡导充分发挥信息化高效、精准的优势，将合理用药管理、处方前置审核等功能纳入医院信息化建设，不断提高处方审核效率和临床工作效率。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（4）</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强化合理用药教育与培训，</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定期结合监控数据分析，</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对不合理用药行为及时采取干预措施。在儿科等重点科室配备驻科药师，参与药物治疗管理。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5）省临床药学、临床检验等质控中心，以落实改进目标为落脚点，兼顾本专业质控指标，围绕制约合理用药水平进一步提升的关键问题和薄弱环节，制定切实操作性强的工作方案并指导落实。针对问题制定系列培训内容，通过各种形式对药学专业技术人员和医师进行合理用药培训，进一步提高合理用药水平。要利用信息化多媒体手段，制定针对受众特点的科普知识，对安全用药进行科普宣教，提高广大人民群众合理用药、安全用药意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2" w:firstLineChars="200"/>
        <w:jc w:val="both"/>
        <w:rPr>
          <w:rFonts w:hint="eastAsia" w:ascii="仿宋_GB2312" w:hAnsi="仿宋_GB2312" w:eastAsia="仿宋_GB2312" w:cs="仿宋_GB2312"/>
          <w:b/>
          <w:bCs/>
          <w:i w:val="0"/>
          <w:iCs w:val="0"/>
          <w:caps w:val="0"/>
          <w:color w:val="auto"/>
          <w:spacing w:val="0"/>
          <w:sz w:val="32"/>
          <w:szCs w:val="32"/>
          <w:highlight w:val="none"/>
          <w:u w:val="none"/>
          <w:lang w:val="en-US" w:eastAsia="zh-CN"/>
        </w:rPr>
      </w:pPr>
      <w:r>
        <w:rPr>
          <w:rFonts w:hint="eastAsia" w:ascii="仿宋_GB2312" w:hAnsi="仿宋_GB2312" w:eastAsia="仿宋_GB2312" w:cs="仿宋_GB2312"/>
          <w:b/>
          <w:bCs/>
          <w:i w:val="0"/>
          <w:iCs w:val="0"/>
          <w:caps w:val="0"/>
          <w:color w:val="auto"/>
          <w:spacing w:val="0"/>
          <w:sz w:val="32"/>
          <w:szCs w:val="32"/>
          <w:highlight w:val="none"/>
          <w:u w:val="none"/>
          <w:lang w:val="en-US" w:eastAsia="zh-CN"/>
        </w:rPr>
        <w:t>17.提高检查检验质量。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1）建立健全覆盖检查、检验全过程的质量管理制度，加强室内质量控制，配合做好室间质量评价工作。本机构医疗质量安全管理部门，要指定专门部门负责机构内所有检查、检验业务的质量管理，确保同质化，进一步发挥质量管理对于推进医疗机构检查检验结果互认的重要作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（2）重点关注即时检验（</w:t>
      </w:r>
      <w:r>
        <w:rPr>
          <w:rFonts w:hint="eastAsia" w:ascii="仿宋_GB2312" w:hAnsi="仿宋_GB2312" w:eastAsia="仿宋_GB2312" w:cs="仿宋_GB2312"/>
          <w:b w:val="0"/>
          <w:bCs w:val="0"/>
          <w:i w:val="0"/>
          <w:iCs w:val="0"/>
          <w:caps w:val="0"/>
          <w:color w:val="auto"/>
          <w:spacing w:val="0"/>
          <w:sz w:val="32"/>
          <w:szCs w:val="32"/>
          <w:highlight w:val="none"/>
          <w:u w:val="none"/>
          <w:shd w:val="clear" w:fill="auto"/>
        </w:rPr>
        <w:t>Point-of-Care Test,</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POCT）质量管理，将</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其</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纳入实验室质量管理体系，确保快速、准确、规范出具检验结果，真正发挥对患者疾病的救治，特别是急危重症患者的诊断、护理和病情监测的重要作用。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3）结合本机构疾病谱特点和工作实际，进一步优化危急值项目管理和识别机制，提高危急值报告的及时性、准确性。将危急值管理纳入医院信息系统，及时维护危急值项目，以高效、准确为原则，形成危急值识别、预警、通知、接收、处置的闭环管理；将危急值管理纳入应急预案，保障患者安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4）省临床检验、病理、放射、超声、健康体检、临床营养等质控中心，要指导医疗机构根据医院收治病种的实际情况，进一步分类、细化危急值关键管理环节。病案质控中心要加大电子病历内涵建设的工作力度，明确信息系统中危急值的闭环管理流程，将关键时间节点嵌入信息系统，提高危急值报告和处置效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2" w:firstLineChars="200"/>
        <w:jc w:val="both"/>
        <w:rPr>
          <w:rFonts w:hint="eastAsia" w:ascii="仿宋_GB2312" w:hAnsi="仿宋_GB2312" w:eastAsia="仿宋_GB2312" w:cs="仿宋_GB2312"/>
          <w:b/>
          <w:bCs/>
          <w:i w:val="0"/>
          <w:iCs w:val="0"/>
          <w:caps w:val="0"/>
          <w:color w:val="auto"/>
          <w:spacing w:val="0"/>
          <w:sz w:val="32"/>
          <w:szCs w:val="32"/>
          <w:highlight w:val="none"/>
          <w:u w:val="none"/>
          <w:lang w:val="en-US" w:eastAsia="zh-CN"/>
        </w:rPr>
      </w:pPr>
      <w:r>
        <w:rPr>
          <w:rFonts w:hint="eastAsia" w:ascii="仿宋_GB2312" w:hAnsi="仿宋_GB2312" w:eastAsia="仿宋_GB2312" w:cs="仿宋_GB2312"/>
          <w:b/>
          <w:bCs/>
          <w:i w:val="0"/>
          <w:iCs w:val="0"/>
          <w:caps w:val="0"/>
          <w:color w:val="auto"/>
          <w:spacing w:val="0"/>
          <w:sz w:val="32"/>
          <w:szCs w:val="32"/>
          <w:highlight w:val="none"/>
          <w:u w:val="none"/>
          <w:lang w:val="en-US" w:eastAsia="zh-CN"/>
        </w:rPr>
        <w:t>18.加强病历质量管理。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详见专项行动三。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2" w:firstLineChars="200"/>
        <w:jc w:val="both"/>
        <w:rPr>
          <w:rFonts w:hint="default" w:ascii="仿宋_GB2312" w:hAnsi="仿宋_GB2312" w:eastAsia="仿宋_GB2312" w:cs="仿宋_GB2312"/>
          <w:b/>
          <w:bCs/>
          <w:i w:val="0"/>
          <w:iCs w:val="0"/>
          <w:caps w:val="0"/>
          <w:color w:val="auto"/>
          <w:spacing w:val="0"/>
          <w:sz w:val="32"/>
          <w:szCs w:val="32"/>
          <w:highlight w:val="none"/>
          <w:u w:val="none"/>
          <w:lang w:val="en-US" w:eastAsia="zh-CN"/>
        </w:rPr>
      </w:pPr>
      <w:r>
        <w:rPr>
          <w:rFonts w:hint="default" w:ascii="仿宋_GB2312" w:hAnsi="仿宋_GB2312" w:eastAsia="仿宋_GB2312" w:cs="仿宋_GB2312"/>
          <w:b/>
          <w:bCs/>
          <w:i w:val="0"/>
          <w:iCs w:val="0"/>
          <w:caps w:val="0"/>
          <w:color w:val="auto"/>
          <w:spacing w:val="0"/>
          <w:sz w:val="32"/>
          <w:szCs w:val="32"/>
          <w:highlight w:val="none"/>
          <w:u w:val="none"/>
          <w:lang w:val="en-US" w:eastAsia="zh-CN"/>
        </w:rPr>
        <w:t>19.加强会诊管理。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（1）</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进一步完善会诊制度，明确各类会诊的具体流程，加强会诊人员资质管理，统一会诊单格式及填写规范，规范会诊行为，追踪会诊意见执行情况和执行效果。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（2）</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加强中医、营养、康复、精神、检验、病理、影像、药学等科室的多学科会诊参与度，充分发挥营养和</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早期</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康复</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介入</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对提升治疗效果的积极作用。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3）加强信息化建设，将会诊全过程管理纳入医院信息系统，将会诊制度中涉及的关键内容、重要节点嵌入信息系统，不断提高会诊时效性和规范性。倡导医疗机构将医师参与会诊的情况与效果，纳入医师定期考核的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default" w:ascii="仿宋_GB2312" w:hAnsi="仿宋_GB2312" w:eastAsia="仿宋_GB2312" w:cs="仿宋_GB2312"/>
          <w:b w:val="0"/>
          <w:bCs w:val="0"/>
          <w:i w:val="0"/>
          <w:iCs w:val="0"/>
          <w:caps w:val="0"/>
          <w:color w:val="auto"/>
          <w:spacing w:val="0"/>
          <w:sz w:val="32"/>
          <w:szCs w:val="32"/>
          <w:highlight w:val="none"/>
          <w:u w:val="none"/>
          <w:lang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（4）省级质控中心要利用专业优势，加大宣传力度和人才培养，不断提高医务人员多学科会诊意识和会诊频次。省临床营养、康复医学等质控中心，完善、落实本专业改进目标，助力医疗机构提高会诊质量。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2" w:firstLineChars="200"/>
        <w:jc w:val="both"/>
        <w:rPr>
          <w:rFonts w:hint="eastAsia" w:ascii="仿宋_GB2312" w:hAnsi="仿宋_GB2312" w:eastAsia="仿宋_GB2312" w:cs="仿宋_GB2312"/>
          <w:b/>
          <w:bCs/>
          <w:i w:val="0"/>
          <w:iCs w:val="0"/>
          <w:caps w:val="0"/>
          <w:color w:val="auto"/>
          <w:spacing w:val="0"/>
          <w:sz w:val="32"/>
          <w:szCs w:val="32"/>
          <w:highlight w:val="none"/>
          <w:u w:val="none"/>
          <w:lang w:val="en-US" w:eastAsia="zh-CN"/>
        </w:rPr>
      </w:pPr>
      <w:r>
        <w:rPr>
          <w:rFonts w:hint="eastAsia" w:ascii="仿宋_GB2312" w:hAnsi="仿宋_GB2312" w:eastAsia="仿宋_GB2312" w:cs="仿宋_GB2312"/>
          <w:b/>
          <w:bCs/>
          <w:i w:val="0"/>
          <w:iCs w:val="0"/>
          <w:caps w:val="0"/>
          <w:color w:val="auto"/>
          <w:spacing w:val="0"/>
          <w:sz w:val="32"/>
          <w:szCs w:val="32"/>
          <w:highlight w:val="none"/>
          <w:u w:val="none"/>
          <w:lang w:val="en-US" w:eastAsia="zh-CN"/>
        </w:rPr>
        <w:t>20.提高急难危重</w:t>
      </w:r>
      <w:r>
        <w:rPr>
          <w:rFonts w:hint="default" w:ascii="仿宋_GB2312" w:hAnsi="仿宋_GB2312" w:eastAsia="仿宋_GB2312" w:cs="仿宋_GB2312"/>
          <w:b/>
          <w:bCs/>
          <w:i w:val="0"/>
          <w:iCs w:val="0"/>
          <w:caps w:val="0"/>
          <w:color w:val="auto"/>
          <w:spacing w:val="0"/>
          <w:sz w:val="32"/>
          <w:szCs w:val="32"/>
          <w:highlight w:val="none"/>
          <w:u w:val="none"/>
          <w:lang w:val="en-US" w:eastAsia="zh-CN"/>
        </w:rPr>
        <w:t>患者</w:t>
      </w:r>
      <w:r>
        <w:rPr>
          <w:rFonts w:hint="eastAsia" w:ascii="仿宋_GB2312" w:hAnsi="仿宋_GB2312" w:eastAsia="仿宋_GB2312" w:cs="仿宋_GB2312"/>
          <w:b/>
          <w:bCs/>
          <w:i w:val="0"/>
          <w:iCs w:val="0"/>
          <w:caps w:val="0"/>
          <w:color w:val="auto"/>
          <w:spacing w:val="0"/>
          <w:sz w:val="32"/>
          <w:szCs w:val="32"/>
          <w:highlight w:val="none"/>
          <w:u w:val="none"/>
          <w:lang w:val="en-US" w:eastAsia="zh-CN"/>
        </w:rPr>
        <w:t>救治效果。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1）进一步明确急难危重患者范围，科学分类，及早识别。完善抢救资源配置与紧急调配机制，保障各单元抢救设备和药品可用。为非本机构诊疗范围的急难危重患者提供必要的帮助。加强危急值处置管理，提高危急值处置的及时性、规范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（2）进一步落实急危重患者抢救制度和疑难病例讨论制度，提高重症患者救治技术能力。质量管理部门要积极参与</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病例</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讨论，查找患者救治过程中的难点和薄弱环节，寻求解决办法，不断提高救治能力。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3）质量安全管理部门要定期组织人员对本机构流程绿色通道，如院前、分诊、就诊、会诊、手术、药物治疗、输血治疗、检验、影像学检查、收治入院、转运等运行情况进行检查，不断优化制度和流程，确保急危重患者优先救治</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（4）将急难危重患者的救治纳入应急预案管理，适时进行全院全员培训，定期组织应急演练，提高应急处置能力。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（5）省院前急救、急诊、重症医学、门诊等质控中心，要围绕提高急难危重救治效果，通过制定标准化工作流程、加强人员培训等，帮助医疗机构提升业务能力和质量管理水平。</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2" w:firstLineChars="200"/>
        <w:jc w:val="both"/>
        <w:rPr>
          <w:rFonts w:hint="eastAsia" w:ascii="仿宋_GB2312" w:hAnsi="仿宋_GB2312" w:eastAsia="仿宋_GB2312" w:cs="仿宋_GB2312"/>
          <w:b/>
          <w:bCs/>
          <w:i w:val="0"/>
          <w:iCs w:val="0"/>
          <w:caps w:val="0"/>
          <w:color w:val="auto"/>
          <w:spacing w:val="0"/>
          <w:sz w:val="32"/>
          <w:szCs w:val="32"/>
          <w:highlight w:val="none"/>
          <w:u w:val="none"/>
          <w:lang w:val="en-US" w:eastAsia="zh-CN"/>
        </w:rPr>
      </w:pPr>
      <w:r>
        <w:rPr>
          <w:rFonts w:hint="default" w:ascii="仿宋_GB2312" w:hAnsi="仿宋_GB2312" w:eastAsia="仿宋_GB2312" w:cs="仿宋_GB2312"/>
          <w:b/>
          <w:bCs/>
          <w:i w:val="0"/>
          <w:iCs w:val="0"/>
          <w:caps w:val="0"/>
          <w:color w:val="auto"/>
          <w:spacing w:val="0"/>
          <w:sz w:val="32"/>
          <w:szCs w:val="32"/>
          <w:highlight w:val="none"/>
          <w:u w:val="none"/>
          <w:lang w:val="en-US" w:eastAsia="zh-CN"/>
        </w:rPr>
        <w:t>21.强化患者安全管理</w:t>
      </w:r>
      <w:r>
        <w:rPr>
          <w:rFonts w:hint="eastAsia" w:ascii="仿宋_GB2312" w:hAnsi="仿宋_GB2312" w:eastAsia="仿宋_GB2312" w:cs="仿宋_GB2312"/>
          <w:b/>
          <w:bCs/>
          <w:i w:val="0"/>
          <w:iCs w:val="0"/>
          <w:caps w:val="0"/>
          <w:color w:val="auto"/>
          <w:spacing w:val="0"/>
          <w:sz w:val="32"/>
          <w:szCs w:val="32"/>
          <w:highlight w:val="none"/>
          <w:u w:val="none"/>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详见专项行动四。</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2" w:firstLineChars="200"/>
        <w:jc w:val="both"/>
        <w:rPr>
          <w:rFonts w:hint="default" w:ascii="仿宋_GB2312" w:hAnsi="仿宋_GB2312" w:eastAsia="仿宋_GB2312" w:cs="仿宋_GB2312"/>
          <w:b/>
          <w:bCs/>
          <w:i w:val="0"/>
          <w:iCs w:val="0"/>
          <w:caps w:val="0"/>
          <w:color w:val="auto"/>
          <w:spacing w:val="0"/>
          <w:sz w:val="32"/>
          <w:szCs w:val="32"/>
          <w:highlight w:val="none"/>
          <w:u w:val="none"/>
          <w:lang w:val="en-US" w:eastAsia="zh-CN"/>
        </w:rPr>
      </w:pPr>
      <w:r>
        <w:rPr>
          <w:rFonts w:hint="default" w:ascii="仿宋_GB2312" w:hAnsi="仿宋_GB2312" w:eastAsia="仿宋_GB2312" w:cs="仿宋_GB2312"/>
          <w:b/>
          <w:bCs/>
          <w:i w:val="0"/>
          <w:iCs w:val="0"/>
          <w:caps w:val="0"/>
          <w:color w:val="auto"/>
          <w:spacing w:val="0"/>
          <w:sz w:val="32"/>
          <w:szCs w:val="32"/>
          <w:highlight w:val="none"/>
          <w:u w:val="none"/>
          <w:lang w:val="en-US" w:eastAsia="zh-CN"/>
        </w:rPr>
        <w:t>22.提供优质护理</w:t>
      </w:r>
      <w:r>
        <w:rPr>
          <w:rFonts w:hint="eastAsia" w:ascii="仿宋_GB2312" w:hAnsi="仿宋_GB2312" w:eastAsia="仿宋_GB2312" w:cs="仿宋_GB2312"/>
          <w:b/>
          <w:bCs/>
          <w:i w:val="0"/>
          <w:iCs w:val="0"/>
          <w:caps w:val="0"/>
          <w:color w:val="auto"/>
          <w:spacing w:val="0"/>
          <w:sz w:val="32"/>
          <w:szCs w:val="32"/>
          <w:highlight w:val="none"/>
          <w:u w:val="none"/>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（1）</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持续扩大优质护理服务覆盖面，落实护理核心制度，做实责任制整体护理，夯实基础护理质量，实现优质护理服务扩面提质。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（2）</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完善护理质量监测与反馈，基于循证基础和临床需求开展持续改进工作，提高护理同质化水平。</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（3）省护理质控中心要将落实护理专业改进目标和优质护理有机结合起来，指导医疗机构护理人员主动、积极参与本机构医疗质量安全管理，不断提高护理质量，</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深化护理专业内涵，</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为患者提供优质护理。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楷体_GB2312" w:hAnsi="楷体_GB2312" w:eastAsia="楷体_GB2312" w:cs="楷体_GB2312"/>
          <w:b w:val="0"/>
          <w:bCs w:val="0"/>
          <w:i w:val="0"/>
          <w:iCs w:val="0"/>
          <w:caps w:val="0"/>
          <w:color w:val="auto"/>
          <w:spacing w:val="0"/>
          <w:sz w:val="32"/>
          <w:szCs w:val="32"/>
          <w:highlight w:val="none"/>
          <w:u w:val="none"/>
          <w:lang w:val="en-US" w:eastAsia="zh-CN"/>
        </w:rPr>
      </w:pPr>
      <w:r>
        <w:rPr>
          <w:rFonts w:hint="eastAsia" w:ascii="楷体_GB2312" w:hAnsi="楷体_GB2312" w:eastAsia="楷体_GB2312" w:cs="楷体_GB2312"/>
          <w:b w:val="0"/>
          <w:bCs w:val="0"/>
          <w:i w:val="0"/>
          <w:iCs w:val="0"/>
          <w:caps w:val="0"/>
          <w:color w:val="auto"/>
          <w:spacing w:val="0"/>
          <w:sz w:val="32"/>
          <w:szCs w:val="32"/>
          <w:highlight w:val="none"/>
          <w:u w:val="none"/>
          <w:lang w:val="en-US" w:eastAsia="zh-CN"/>
        </w:rPr>
        <w:t>（三）织密质量管理网络，完善工作机制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2" w:firstLineChars="200"/>
        <w:jc w:val="both"/>
        <w:rPr>
          <w:rFonts w:hint="eastAsia" w:ascii="仿宋_GB2312" w:hAnsi="仿宋_GB2312" w:eastAsia="仿宋_GB2312" w:cs="仿宋_GB2312"/>
          <w:b/>
          <w:bCs/>
          <w:i w:val="0"/>
          <w:iCs w:val="0"/>
          <w:caps w:val="0"/>
          <w:color w:val="auto"/>
          <w:spacing w:val="0"/>
          <w:sz w:val="32"/>
          <w:szCs w:val="32"/>
          <w:highlight w:val="none"/>
          <w:u w:val="none"/>
          <w:lang w:val="en-US" w:eastAsia="zh-CN"/>
        </w:rPr>
      </w:pPr>
      <w:r>
        <w:rPr>
          <w:rFonts w:hint="eastAsia" w:ascii="仿宋_GB2312" w:hAnsi="仿宋_GB2312" w:eastAsia="仿宋_GB2312" w:cs="仿宋_GB2312"/>
          <w:b/>
          <w:bCs/>
          <w:i w:val="0"/>
          <w:iCs w:val="0"/>
          <w:caps w:val="0"/>
          <w:color w:val="auto"/>
          <w:spacing w:val="0"/>
          <w:sz w:val="32"/>
          <w:szCs w:val="32"/>
          <w:highlight w:val="none"/>
          <w:u w:val="none"/>
          <w:lang w:val="en-US" w:eastAsia="zh-CN"/>
        </w:rPr>
        <w:t>23.健全质控体系和工作机制。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详见专项行动五。</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2" w:firstLineChars="200"/>
        <w:jc w:val="both"/>
        <w:rPr>
          <w:rFonts w:hint="default" w:ascii="仿宋_GB2312" w:hAnsi="仿宋_GB2312" w:eastAsia="仿宋_GB2312" w:cs="仿宋_GB2312"/>
          <w:b/>
          <w:bCs/>
          <w:i w:val="0"/>
          <w:iCs w:val="0"/>
          <w:caps w:val="0"/>
          <w:color w:val="auto"/>
          <w:spacing w:val="0"/>
          <w:sz w:val="32"/>
          <w:szCs w:val="32"/>
          <w:highlight w:val="none"/>
          <w:u w:val="none"/>
          <w:lang w:val="en-US" w:eastAsia="zh-CN"/>
        </w:rPr>
      </w:pPr>
      <w:r>
        <w:rPr>
          <w:rFonts w:hint="default" w:ascii="仿宋_GB2312" w:hAnsi="仿宋_GB2312" w:eastAsia="仿宋_GB2312" w:cs="仿宋_GB2312"/>
          <w:b/>
          <w:bCs/>
          <w:i w:val="0"/>
          <w:iCs w:val="0"/>
          <w:caps w:val="0"/>
          <w:color w:val="auto"/>
          <w:spacing w:val="0"/>
          <w:sz w:val="32"/>
          <w:szCs w:val="32"/>
          <w:highlight w:val="none"/>
          <w:u w:val="none"/>
          <w:lang w:val="en-US" w:eastAsia="zh-CN"/>
        </w:rPr>
        <w:t>24.加强质量安全信息公开</w:t>
      </w:r>
      <w:r>
        <w:rPr>
          <w:rFonts w:hint="eastAsia" w:ascii="仿宋_GB2312" w:hAnsi="仿宋_GB2312" w:eastAsia="仿宋_GB2312" w:cs="仿宋_GB2312"/>
          <w:b/>
          <w:bCs/>
          <w:i w:val="0"/>
          <w:iCs w:val="0"/>
          <w:caps w:val="0"/>
          <w:color w:val="auto"/>
          <w:spacing w:val="0"/>
          <w:sz w:val="32"/>
          <w:szCs w:val="32"/>
          <w:highlight w:val="none"/>
          <w:u w:val="none"/>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1）各级卫生健康行政部门要熟知国家医疗质量管理与控制信息网（NCIS）、国家单病种质量管理与控制平台、国家医院质量监测系统（HQMS）、河南省医疗质量管理与控制信息网（HNCIS）、河南省医疗技术临床应用管理信息系统、公立医院绩效考核管理平台、河南省合理用药等系统功能。定期组织相应质控中心、有关部门收集、整理、</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分析、</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公布各专业、各医疗机构质量管理与控制情况。省卫生健康委组织各专业质控中心编制年度《河南省医疗服务与质量安全报告》，全面、系统、客观、真实、准确反映年度全省医疗服务与质量安全基本情况，为制定医疗质量管理政策提供依据，为医疗机构、质控中心持续提升医疗服务与质量安全水平提供借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（2）市级</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以上卫生健康行政部门建立辖区内医疗机构质量安全排名、通报和信息公开</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等</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制度，完善工作机制，充分调动行业重视程度和工作积极性。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（3）医疗机构</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建立质量安全排名、通报和信息公开</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等</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制度，完善工作机制，</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调动本机构的</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重视程度和工作积极性。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（4）</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质控中心围绕本专业年度质量安全情况进行监测、分析和反馈，为此项工作提供技术支撑。</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省级质控中心要按照工作要求，落实质控主体责任，围绕本专业年度改进目标开展工作。撰写、反馈本专业年度质控工作报告，用数据客观、真实反映各地本专业质量控制情况，尤其要针对具体问题制定操作性强的工作方案，指导医疗机构改进工作方法、优化工作流程、提升人员业务素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2" w:firstLineChars="200"/>
        <w:jc w:val="both"/>
        <w:rPr>
          <w:rFonts w:hint="eastAsia" w:ascii="仿宋_GB2312" w:hAnsi="仿宋_GB2312" w:eastAsia="仿宋_GB2312" w:cs="仿宋_GB2312"/>
          <w:b/>
          <w:bCs/>
          <w:i w:val="0"/>
          <w:iCs w:val="0"/>
          <w:caps w:val="0"/>
          <w:color w:val="auto"/>
          <w:spacing w:val="0"/>
          <w:sz w:val="32"/>
          <w:szCs w:val="32"/>
          <w:highlight w:val="none"/>
          <w:u w:val="none"/>
          <w:lang w:val="en-US" w:eastAsia="zh-CN"/>
        </w:rPr>
      </w:pPr>
      <w:r>
        <w:rPr>
          <w:rFonts w:hint="eastAsia" w:ascii="仿宋_GB2312" w:hAnsi="仿宋_GB2312" w:eastAsia="仿宋_GB2312" w:cs="仿宋_GB2312"/>
          <w:b/>
          <w:bCs/>
          <w:i w:val="0"/>
          <w:iCs w:val="0"/>
          <w:caps w:val="0"/>
          <w:color w:val="auto"/>
          <w:spacing w:val="0"/>
          <w:sz w:val="32"/>
          <w:szCs w:val="32"/>
          <w:highlight w:val="none"/>
          <w:u w:val="none"/>
          <w:lang w:val="en-US" w:eastAsia="zh-CN"/>
        </w:rPr>
        <w:t>25.完善“以质为先”的绩效管理机制。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（1）将医疗质量管理情况作为绩效考核的重要依据，探索建立以医疗质量安全为导向的绩效分配机制。将科室医疗质量管理情况作为科室负责人综合目标考核以及聘任、晋升、评先评优的重要指标。</w:t>
      </w:r>
      <w:r>
        <w:rPr>
          <w:rFonts w:hint="eastAsia" w:eastAsia="仿宋_GB2312"/>
          <w:b w:val="0"/>
          <w:bCs w:val="0"/>
          <w:color w:val="auto"/>
          <w:sz w:val="32"/>
          <w:szCs w:val="32"/>
          <w:highlight w:val="none"/>
        </w:rPr>
        <w:t>鼓励建立能够准确体现医务人员工作质量的“医生档案”，</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将科室和医务人员医疗质量管理情况作为医师手术分级授权、定期考核、晋升的重要依据。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（2）将各级质控中心专家委员会成员（包括主任委员、副主任委员、委员及秘书）参与质控工作的情况，作为聘任、晋升、评先评优的重要依据。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（3）将本机构</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质控专员</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科室</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质控员工作开展情况，以数据衡量持续改进效果为重要依据，作为聘任、晋升、评先评优的重要指标，以此为契机培养一</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支</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兼具专业知识与质控管理的复合型人才队伍。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（4）</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各级</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卫生健康行政部门将医疗机构医疗质量管理作为基础性内容，作为区域中心、</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质控中心、</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诊疗中心、重点专科等设置以及相关工作评先评优的重要依据。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2" w:firstLineChars="200"/>
        <w:jc w:val="both"/>
        <w:rPr>
          <w:rFonts w:hint="default" w:ascii="仿宋_GB2312" w:hAnsi="仿宋_GB2312" w:eastAsia="仿宋_GB2312" w:cs="仿宋_GB2312"/>
          <w:b/>
          <w:bCs/>
          <w:i w:val="0"/>
          <w:iCs w:val="0"/>
          <w:caps w:val="0"/>
          <w:color w:val="auto"/>
          <w:spacing w:val="0"/>
          <w:sz w:val="32"/>
          <w:szCs w:val="32"/>
          <w:highlight w:val="none"/>
          <w:u w:val="none"/>
          <w:lang w:val="en-US" w:eastAsia="zh-CN"/>
        </w:rPr>
      </w:pPr>
      <w:r>
        <w:rPr>
          <w:rFonts w:hint="default" w:ascii="仿宋_GB2312" w:hAnsi="仿宋_GB2312" w:eastAsia="仿宋_GB2312" w:cs="仿宋_GB2312"/>
          <w:b/>
          <w:bCs/>
          <w:i w:val="0"/>
          <w:iCs w:val="0"/>
          <w:caps w:val="0"/>
          <w:color w:val="auto"/>
          <w:spacing w:val="0"/>
          <w:sz w:val="32"/>
          <w:szCs w:val="32"/>
          <w:highlight w:val="none"/>
          <w:u w:val="none"/>
          <w:lang w:val="en-US" w:eastAsia="zh-CN"/>
        </w:rPr>
        <w:t>26.强化目标</w:t>
      </w:r>
      <w:r>
        <w:rPr>
          <w:rFonts w:hint="eastAsia" w:ascii="仿宋_GB2312" w:hAnsi="仿宋_GB2312" w:eastAsia="仿宋_GB2312" w:cs="仿宋_GB2312"/>
          <w:b/>
          <w:bCs/>
          <w:i w:val="0"/>
          <w:iCs w:val="0"/>
          <w:caps w:val="0"/>
          <w:color w:val="auto"/>
          <w:spacing w:val="0"/>
          <w:sz w:val="32"/>
          <w:szCs w:val="32"/>
          <w:highlight w:val="none"/>
          <w:u w:val="none"/>
          <w:lang w:val="en-US" w:eastAsia="zh-CN"/>
        </w:rPr>
        <w:t>引领</w:t>
      </w:r>
      <w:r>
        <w:rPr>
          <w:rFonts w:hint="default" w:ascii="仿宋_GB2312" w:hAnsi="仿宋_GB2312" w:eastAsia="仿宋_GB2312" w:cs="仿宋_GB2312"/>
          <w:b/>
          <w:bCs/>
          <w:i w:val="0"/>
          <w:iCs w:val="0"/>
          <w:caps w:val="0"/>
          <w:color w:val="auto"/>
          <w:spacing w:val="0"/>
          <w:sz w:val="32"/>
          <w:szCs w:val="32"/>
          <w:highlight w:val="none"/>
          <w:u w:val="none"/>
          <w:lang w:val="en-US" w:eastAsia="zh-CN"/>
        </w:rPr>
        <w:t>，优化改进工作机制。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（1）</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卫生健康行政部门指导质控组织和医疗机构</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聚焦改进目标</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、质控指标以及</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患者安全目标</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等</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，强化相关人员责任感，合理细化改进目标</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，找准基线，</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确定改进幅度，凝聚人心、形成合力，把推动目标实现作为年度质量安全管理工作</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出发点、落脚点、着力点</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，创新工作机制和方式方法，以点带面提升质量安全水平</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，提升医疗质量安全管理科学化和精细化水平。</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2）质控中心要牢固“以目标为引领，以问题为导向”的指导思想，养成“数据质控”的工作方法，加强能力建设，提高质控素养，聚焦改进目标，全方位、多角度查摆制约目标改进幅度进一步提升的核心问题，</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细化相关改进策略</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形成工作方案，</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加强宣贯培训，做好技术支撑</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3）医疗机构承担年度目标改进工作的主体责任，要提高主动性、创造性、科学性，推动机构内多部门、多学科协同工作，按照各目标核心策略制定符合本机构实际的管理组织架构、制度、机制和实施路径，分类建账，建立激励约束机制，充分调动管理、医务人员积极性，以点带面提升质量安全水平。</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（4）卫生健康行政部门和质控中心要重视信息化建设，充分利用信息化优势开展质量管理与控制工作，用数据客观展示辖区内医疗质量情况。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2" w:firstLineChars="200"/>
        <w:jc w:val="both"/>
        <w:rPr>
          <w:rFonts w:hint="default" w:ascii="仿宋_GB2312" w:hAnsi="仿宋_GB2312" w:eastAsia="仿宋_GB2312" w:cs="仿宋_GB2312"/>
          <w:b/>
          <w:bCs/>
          <w:i w:val="0"/>
          <w:iCs w:val="0"/>
          <w:caps w:val="0"/>
          <w:color w:val="auto"/>
          <w:spacing w:val="0"/>
          <w:sz w:val="32"/>
          <w:szCs w:val="32"/>
          <w:highlight w:val="none"/>
          <w:u w:val="none"/>
          <w:lang w:val="en-US" w:eastAsia="zh-CN"/>
        </w:rPr>
      </w:pPr>
      <w:r>
        <w:rPr>
          <w:rFonts w:hint="default" w:ascii="仿宋_GB2312" w:hAnsi="仿宋_GB2312" w:eastAsia="仿宋_GB2312" w:cs="仿宋_GB2312"/>
          <w:b/>
          <w:bCs/>
          <w:i w:val="0"/>
          <w:iCs w:val="0"/>
          <w:caps w:val="0"/>
          <w:color w:val="auto"/>
          <w:spacing w:val="0"/>
          <w:sz w:val="32"/>
          <w:szCs w:val="32"/>
          <w:highlight w:val="none"/>
          <w:u w:val="none"/>
          <w:lang w:val="en-US" w:eastAsia="zh-CN"/>
        </w:rPr>
        <w:t>27.充分发挥考核评估指挥棒作用。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（1）</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卫生健康行政部门要发挥医院评审、公立医院绩效考核、公立医院高质量发展评价、“双中心”建设、临床重点专科创建、医联体绩效考核、临床专科评估、单病种质量评估等工作指挥棒作用，将医疗质量管理情况作为考核工作的重要内容，督促指导医疗机构落实相关政策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2）卫生健康行政部门要定期组织开展本级质控中心述职评价工作，依据改进目标和质控指标落实等情况，科学制定、动态调整述职评价考核依据，引导质控中心工作中明晰重点、掌握方法、关注成效、履职尽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2" w:firstLineChars="200"/>
        <w:jc w:val="both"/>
        <w:rPr>
          <w:rFonts w:hint="default" w:ascii="仿宋_GB2312" w:hAnsi="仿宋_GB2312" w:eastAsia="仿宋_GB2312" w:cs="仿宋_GB2312"/>
          <w:b/>
          <w:bCs/>
          <w:i w:val="0"/>
          <w:iCs w:val="0"/>
          <w:caps w:val="0"/>
          <w:color w:val="auto"/>
          <w:spacing w:val="0"/>
          <w:sz w:val="32"/>
          <w:szCs w:val="32"/>
          <w:highlight w:val="none"/>
          <w:u w:val="none"/>
          <w:lang w:val="en-US" w:eastAsia="zh-CN"/>
        </w:rPr>
      </w:pPr>
      <w:r>
        <w:rPr>
          <w:rFonts w:hint="default" w:ascii="仿宋_GB2312" w:hAnsi="仿宋_GB2312" w:eastAsia="仿宋_GB2312" w:cs="仿宋_GB2312"/>
          <w:b/>
          <w:bCs/>
          <w:i w:val="0"/>
          <w:iCs w:val="0"/>
          <w:caps w:val="0"/>
          <w:color w:val="auto"/>
          <w:spacing w:val="0"/>
          <w:sz w:val="32"/>
          <w:szCs w:val="32"/>
          <w:highlight w:val="none"/>
          <w:u w:val="none"/>
          <w:lang w:val="en-US" w:eastAsia="zh-CN"/>
        </w:rPr>
        <w:t>28.加强中医药质控。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（1）</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医疗机构应将中医医疗技术应用、中药合理使用等，纳入医疗质量管理。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（2）</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各级中医药主管部门应加强中医药质控机构设置和建设，加大中医诊疗技术规范的修订和完善。坚持以人民为中心</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把人民群众生命安全和身体健康放在第一位，加强服务体系和人才队伍建设，提升中医药服务能力，充分发挥中医药在治未病、重大疾病治疗、疾病康复中的重要作用，全方位全周期保障人民健康。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黑体" w:hAnsi="黑体" w:eastAsia="黑体" w:cs="黑体"/>
          <w:b w:val="0"/>
          <w:bCs w:val="0"/>
          <w:i w:val="0"/>
          <w:iCs w:val="0"/>
          <w:caps w:val="0"/>
          <w:color w:val="auto"/>
          <w:spacing w:val="0"/>
          <w:sz w:val="32"/>
          <w:szCs w:val="32"/>
          <w:highlight w:val="none"/>
          <w:u w:val="none"/>
          <w:lang w:val="en-US" w:eastAsia="zh-CN"/>
        </w:rPr>
      </w:pPr>
      <w:r>
        <w:rPr>
          <w:rFonts w:hint="eastAsia" w:ascii="黑体" w:hAnsi="黑体" w:eastAsia="黑体" w:cs="黑体"/>
          <w:b w:val="0"/>
          <w:bCs w:val="0"/>
          <w:i w:val="0"/>
          <w:iCs w:val="0"/>
          <w:caps w:val="0"/>
          <w:color w:val="auto"/>
          <w:spacing w:val="0"/>
          <w:sz w:val="32"/>
          <w:szCs w:val="32"/>
          <w:highlight w:val="none"/>
          <w:u w:val="none"/>
          <w:lang w:val="en-US" w:eastAsia="zh-CN"/>
        </w:rPr>
        <w:t>五、专项行动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left"/>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楷体" w:hAnsi="楷体" w:eastAsia="楷体" w:cs="楷体"/>
          <w:b w:val="0"/>
          <w:bCs w:val="0"/>
          <w:i w:val="0"/>
          <w:iCs w:val="0"/>
          <w:caps w:val="0"/>
          <w:color w:val="auto"/>
          <w:spacing w:val="0"/>
          <w:sz w:val="32"/>
          <w:szCs w:val="32"/>
          <w:highlight w:val="none"/>
          <w:u w:val="none"/>
          <w:lang w:val="en-US" w:eastAsia="zh-CN"/>
        </w:rPr>
        <w:t>（一）手术质量安全提升行动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落实《国家卫生健康委办公厅关于印发手术质量安全提升行动方案（2023-2025年）的通知》，通过专项行动，进一步完善手术质量安全管理体系，形成科学规范、责权清晰、运行顺畅的管理机制，降低手术并发症、麻醉并发症、围手术期死亡等负性事件发生率，及时发现和消除手术质量安全隐患。</w:t>
      </w:r>
    </w:p>
    <w:p>
      <w:pPr>
        <w:spacing w:line="560" w:lineRule="exact"/>
        <w:ind w:firstLine="642" w:firstLineChars="200"/>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1.全省目标。</w:t>
      </w:r>
    </w:p>
    <w:p>
      <w:pPr>
        <w:spacing w:line="560" w:lineRule="exact"/>
        <w:ind w:firstLine="640" w:firstLineChars="200"/>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全省</w:t>
      </w:r>
      <w:r>
        <w:rPr>
          <w:rFonts w:hint="eastAsia" w:ascii="仿宋_GB2312" w:hAnsi="仿宋_GB2312" w:eastAsia="仿宋_GB2312" w:cs="仿宋_GB2312"/>
          <w:b w:val="0"/>
          <w:bCs w:val="0"/>
          <w:color w:val="auto"/>
          <w:sz w:val="32"/>
          <w:szCs w:val="32"/>
          <w:highlight w:val="none"/>
        </w:rPr>
        <w:t>非计划重返手术室再手术率2024年</w:t>
      </w:r>
      <w:r>
        <w:rPr>
          <w:rFonts w:hint="default" w:ascii="仿宋_GB2312" w:hAnsi="仿宋_GB2312" w:eastAsia="仿宋_GB2312" w:cs="仿宋_GB2312"/>
          <w:b w:val="0"/>
          <w:bCs w:val="0"/>
          <w:color w:val="auto"/>
          <w:sz w:val="32"/>
          <w:szCs w:val="32"/>
          <w:highlight w:val="none"/>
        </w:rPr>
        <w:t>底</w:t>
      </w:r>
      <w:r>
        <w:rPr>
          <w:rFonts w:hint="eastAsia" w:ascii="仿宋_GB2312" w:hAnsi="仿宋_GB2312" w:eastAsia="仿宋_GB2312" w:cs="仿宋_GB2312"/>
          <w:b w:val="0"/>
          <w:bCs w:val="0"/>
          <w:color w:val="auto"/>
          <w:sz w:val="32"/>
          <w:szCs w:val="32"/>
          <w:highlight w:val="none"/>
        </w:rPr>
        <w:t>不高于</w:t>
      </w:r>
      <w:r>
        <w:rPr>
          <w:rFonts w:hint="eastAsia" w:ascii="仿宋_GB2312" w:hAnsi="仿宋_GB2312" w:eastAsia="仿宋_GB2312" w:cs="仿宋_GB2312"/>
          <w:b w:val="0"/>
          <w:bCs w:val="0"/>
          <w:color w:val="auto"/>
          <w:sz w:val="32"/>
          <w:szCs w:val="32"/>
          <w:highlight w:val="none"/>
          <w:lang w:val="en-US" w:eastAsia="zh-CN"/>
        </w:rPr>
        <w:t>1.9</w:t>
      </w:r>
      <w:r>
        <w:rPr>
          <w:rFonts w:hint="eastAsia" w:ascii="仿宋_GB2312" w:hAnsi="仿宋_GB2312" w:eastAsia="仿宋_GB2312" w:cs="仿宋_GB2312"/>
          <w:b w:val="0"/>
          <w:bCs w:val="0"/>
          <w:color w:val="auto"/>
          <w:sz w:val="32"/>
          <w:szCs w:val="32"/>
          <w:highlight w:val="none"/>
        </w:rPr>
        <w:t>‰，2025年</w:t>
      </w:r>
      <w:r>
        <w:rPr>
          <w:rFonts w:hint="default" w:ascii="仿宋_GB2312" w:hAnsi="仿宋_GB2312" w:eastAsia="仿宋_GB2312" w:cs="仿宋_GB2312"/>
          <w:b w:val="0"/>
          <w:bCs w:val="0"/>
          <w:color w:val="auto"/>
          <w:sz w:val="32"/>
          <w:szCs w:val="32"/>
          <w:highlight w:val="none"/>
        </w:rPr>
        <w:t>底</w:t>
      </w:r>
      <w:r>
        <w:rPr>
          <w:rFonts w:hint="eastAsia" w:ascii="仿宋_GB2312" w:hAnsi="仿宋_GB2312" w:eastAsia="仿宋_GB2312" w:cs="仿宋_GB2312"/>
          <w:b w:val="0"/>
          <w:bCs w:val="0"/>
          <w:color w:val="auto"/>
          <w:sz w:val="32"/>
          <w:szCs w:val="32"/>
          <w:highlight w:val="none"/>
        </w:rPr>
        <w:t>不高于1.8‰</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住院患者手术后获得性指标发生率2024年</w:t>
      </w:r>
      <w:r>
        <w:rPr>
          <w:rFonts w:hint="default" w:ascii="仿宋_GB2312" w:hAnsi="仿宋_GB2312" w:eastAsia="仿宋_GB2312" w:cs="仿宋_GB2312"/>
          <w:b w:val="0"/>
          <w:bCs w:val="0"/>
          <w:color w:val="auto"/>
          <w:sz w:val="32"/>
          <w:szCs w:val="32"/>
          <w:highlight w:val="none"/>
        </w:rPr>
        <w:t>底</w:t>
      </w:r>
      <w:r>
        <w:rPr>
          <w:rFonts w:hint="eastAsia" w:ascii="仿宋_GB2312" w:hAnsi="仿宋_GB2312" w:eastAsia="仿宋_GB2312" w:cs="仿宋_GB2312"/>
          <w:b w:val="0"/>
          <w:bCs w:val="0"/>
          <w:color w:val="auto"/>
          <w:sz w:val="32"/>
          <w:szCs w:val="32"/>
          <w:highlight w:val="none"/>
        </w:rPr>
        <w:t>不高于7.7‰</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2025年底</w:t>
      </w:r>
      <w:r>
        <w:rPr>
          <w:rFonts w:hint="eastAsia" w:ascii="仿宋_GB2312" w:hAnsi="仿宋_GB2312" w:eastAsia="仿宋_GB2312" w:cs="仿宋_GB2312"/>
          <w:b w:val="0"/>
          <w:bCs w:val="0"/>
          <w:color w:val="auto"/>
          <w:sz w:val="32"/>
          <w:szCs w:val="32"/>
          <w:highlight w:val="none"/>
        </w:rPr>
        <w:t>不高于7.5‰。</w:t>
      </w:r>
      <w:r>
        <w:rPr>
          <w:rFonts w:hint="eastAsia" w:ascii="仿宋_GB2312" w:hAnsi="仿宋_GB2312" w:eastAsia="仿宋_GB2312" w:cs="仿宋_GB2312"/>
          <w:b w:val="0"/>
          <w:bCs w:val="0"/>
          <w:color w:val="auto"/>
          <w:sz w:val="32"/>
          <w:szCs w:val="32"/>
          <w:highlight w:val="none"/>
          <w:lang w:val="en-US" w:eastAsia="zh-CN"/>
        </w:rPr>
        <w:t>手术麻醉期间低体温发生率、I类切口手术抗菌药物预防使用率进一步降低，日间手术占择期手术的比例进一步提高，四级手术术前多学科讨论制度得到全面落实。</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2" w:firstLineChars="200"/>
        <w:jc w:val="both"/>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bCs/>
          <w:i w:val="0"/>
          <w:iCs w:val="0"/>
          <w:caps w:val="0"/>
          <w:color w:val="auto"/>
          <w:spacing w:val="0"/>
          <w:sz w:val="32"/>
          <w:szCs w:val="32"/>
          <w:highlight w:val="none"/>
          <w:u w:val="none"/>
          <w:lang w:val="en-US" w:eastAsia="zh-CN"/>
        </w:rPr>
        <w:t>2.职责措施。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（1）卫生健康行政部门要</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围绕专项行动目标值，以制定、落实符合</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辖区</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实际、分步骤的目标值为主线，加强</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医疗机构手术</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安全</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日常</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管理。将指导医疗机构科学进行手术分级管理作为提升手术质量的着力点</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通过</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监测</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评估</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等措施</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，纠正手术分级管理不规范</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等</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情况，建立激励和约束机制，推广先进经验和做法。将医疗机构手术分级管理情况与医疗机构校验、医院评审评价及个人业绩考核相结合，强化事中事后监管约束力。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（2）</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严格落实手术安全核查制度</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强化围手术期管理</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，规范手术前、手术中、手术后的医疗行为</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倡导将围手术期管理涉及的重要环节、重要时间节点、核心内容等植入信息系统，通过CDSS功能，确保“正确的患者、正确的麻醉、正确的手术部位、正确的手术方式”。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仿宋" w:hAnsi="仿宋" w:eastAsia="仿宋" w:cs="仿宋"/>
          <w:b w:val="0"/>
          <w:bCs w:val="0"/>
          <w:i w:val="0"/>
          <w:iCs w:val="0"/>
          <w:caps w:val="0"/>
          <w:color w:val="auto"/>
          <w:spacing w:val="0"/>
          <w:sz w:val="32"/>
          <w:szCs w:val="32"/>
          <w:highlight w:val="none"/>
          <w:u w:val="none"/>
          <w:lang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eastAsia="zh-CN"/>
        </w:rPr>
        <w:t>（</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3</w:t>
      </w:r>
      <w:r>
        <w:rPr>
          <w:rFonts w:hint="eastAsia" w:ascii="仿宋_GB2312" w:hAnsi="仿宋_GB2312" w:eastAsia="仿宋_GB2312" w:cs="仿宋_GB2312"/>
          <w:b w:val="0"/>
          <w:bCs w:val="0"/>
          <w:i w:val="0"/>
          <w:iCs w:val="0"/>
          <w:caps w:val="0"/>
          <w:color w:val="auto"/>
          <w:spacing w:val="0"/>
          <w:sz w:val="32"/>
          <w:szCs w:val="32"/>
          <w:highlight w:val="none"/>
          <w:u w:val="none"/>
          <w:lang w:eastAsia="zh-CN"/>
        </w:rPr>
        <w:t>）</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医疗机构</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承担手术分级管理</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主体</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责任，要严格</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执行</w:t>
      </w:r>
      <w:r>
        <w:rPr>
          <w:rFonts w:hint="eastAsia" w:ascii="仿宋" w:hAnsi="仿宋" w:eastAsia="仿宋" w:cs="仿宋"/>
          <w:b w:val="0"/>
          <w:bCs w:val="0"/>
          <w:i w:val="0"/>
          <w:iCs w:val="0"/>
          <w:caps w:val="0"/>
          <w:color w:val="auto"/>
          <w:spacing w:val="0"/>
          <w:sz w:val="32"/>
          <w:szCs w:val="32"/>
          <w:highlight w:val="none"/>
          <w:u w:val="none"/>
        </w:rPr>
        <w:t>组织架构、部门职责、管理运行机制</w:t>
      </w:r>
      <w:r>
        <w:rPr>
          <w:rFonts w:hint="eastAsia" w:ascii="仿宋" w:hAnsi="仿宋" w:eastAsia="仿宋" w:cs="仿宋"/>
          <w:b w:val="0"/>
          <w:bCs w:val="0"/>
          <w:i w:val="0"/>
          <w:iCs w:val="0"/>
          <w:caps w:val="0"/>
          <w:color w:val="auto"/>
          <w:spacing w:val="0"/>
          <w:sz w:val="32"/>
          <w:szCs w:val="32"/>
          <w:highlight w:val="none"/>
          <w:u w:val="none"/>
          <w:lang w:val="en-US" w:eastAsia="zh-CN"/>
        </w:rPr>
        <w:t>等要求</w:t>
      </w:r>
      <w:r>
        <w:rPr>
          <w:rFonts w:hint="eastAsia" w:ascii="仿宋" w:hAnsi="仿宋" w:eastAsia="仿宋" w:cs="仿宋"/>
          <w:b w:val="0"/>
          <w:bCs w:val="0"/>
          <w:i w:val="0"/>
          <w:iCs w:val="0"/>
          <w:caps w:val="0"/>
          <w:color w:val="auto"/>
          <w:spacing w:val="0"/>
          <w:sz w:val="32"/>
          <w:szCs w:val="32"/>
          <w:highlight w:val="none"/>
          <w:u w:val="none"/>
        </w:rPr>
        <w:t>，</w:t>
      </w:r>
      <w:r>
        <w:rPr>
          <w:rFonts w:hint="default" w:ascii="仿宋" w:hAnsi="仿宋" w:eastAsia="仿宋" w:cs="仿宋"/>
          <w:b w:val="0"/>
          <w:bCs w:val="0"/>
          <w:i w:val="0"/>
          <w:iCs w:val="0"/>
          <w:caps w:val="0"/>
          <w:color w:val="auto"/>
          <w:spacing w:val="0"/>
          <w:sz w:val="32"/>
          <w:szCs w:val="32"/>
          <w:highlight w:val="none"/>
          <w:u w:val="none"/>
        </w:rPr>
        <w:t>实行</w:t>
      </w:r>
      <w:r>
        <w:rPr>
          <w:rFonts w:hint="eastAsia" w:ascii="仿宋" w:hAnsi="仿宋" w:eastAsia="仿宋" w:cs="仿宋"/>
          <w:b w:val="0"/>
          <w:bCs w:val="0"/>
          <w:i w:val="0"/>
          <w:iCs w:val="0"/>
          <w:caps w:val="0"/>
          <w:color w:val="auto"/>
          <w:spacing w:val="0"/>
          <w:sz w:val="32"/>
          <w:szCs w:val="32"/>
          <w:highlight w:val="none"/>
          <w:u w:val="none"/>
        </w:rPr>
        <w:t>院、科两级负责制，建立健全从手术分级目录制定、医务人员授权、患者术后管理到医疗机构内部督查等手术分级管理</w:t>
      </w:r>
      <w:r>
        <w:rPr>
          <w:rFonts w:hint="eastAsia" w:ascii="仿宋" w:hAnsi="仿宋" w:eastAsia="仿宋" w:cs="仿宋"/>
          <w:b w:val="0"/>
          <w:bCs w:val="0"/>
          <w:i w:val="0"/>
          <w:iCs w:val="0"/>
          <w:caps w:val="0"/>
          <w:color w:val="auto"/>
          <w:spacing w:val="0"/>
          <w:sz w:val="32"/>
          <w:szCs w:val="32"/>
          <w:highlight w:val="none"/>
          <w:u w:val="none"/>
          <w:lang w:val="en-US" w:eastAsia="zh-CN"/>
        </w:rPr>
        <w:t>的</w:t>
      </w:r>
      <w:r>
        <w:rPr>
          <w:rFonts w:hint="eastAsia" w:ascii="仿宋" w:hAnsi="仿宋" w:eastAsia="仿宋" w:cs="仿宋"/>
          <w:b w:val="0"/>
          <w:bCs w:val="0"/>
          <w:i w:val="0"/>
          <w:iCs w:val="0"/>
          <w:caps w:val="0"/>
          <w:color w:val="auto"/>
          <w:spacing w:val="0"/>
          <w:sz w:val="32"/>
          <w:szCs w:val="32"/>
          <w:highlight w:val="none"/>
          <w:u w:val="none"/>
        </w:rPr>
        <w:t>全流程制度</w:t>
      </w:r>
      <w:r>
        <w:rPr>
          <w:rFonts w:hint="eastAsia" w:ascii="仿宋" w:hAnsi="仿宋" w:eastAsia="仿宋" w:cs="仿宋"/>
          <w:b w:val="0"/>
          <w:bCs w:val="0"/>
          <w:i w:val="0"/>
          <w:iCs w:val="0"/>
          <w:caps w:val="0"/>
          <w:color w:val="auto"/>
          <w:spacing w:val="0"/>
          <w:sz w:val="32"/>
          <w:szCs w:val="32"/>
          <w:highlight w:val="none"/>
          <w:u w:val="none"/>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default" w:ascii="仿宋_GB2312" w:hAnsi="仿宋_GB2312" w:eastAsia="仿宋_GB2312" w:cs="仿宋_GB2312"/>
          <w:b w:val="0"/>
          <w:bCs w:val="0"/>
          <w:i w:val="0"/>
          <w:iCs w:val="0"/>
          <w:caps w:val="0"/>
          <w:color w:val="auto"/>
          <w:spacing w:val="0"/>
          <w:sz w:val="32"/>
          <w:szCs w:val="32"/>
          <w:highlight w:val="none"/>
          <w:u w:val="none"/>
          <w:lang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eastAsia="zh-CN"/>
        </w:rPr>
        <w:t>（</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4</w:t>
      </w:r>
      <w:r>
        <w:rPr>
          <w:rFonts w:hint="eastAsia" w:ascii="仿宋_GB2312" w:hAnsi="仿宋_GB2312" w:eastAsia="仿宋_GB2312" w:cs="仿宋_GB2312"/>
          <w:b w:val="0"/>
          <w:bCs w:val="0"/>
          <w:i w:val="0"/>
          <w:iCs w:val="0"/>
          <w:caps w:val="0"/>
          <w:color w:val="auto"/>
          <w:spacing w:val="0"/>
          <w:sz w:val="32"/>
          <w:szCs w:val="32"/>
          <w:highlight w:val="none"/>
          <w:u w:val="none"/>
          <w:lang w:eastAsia="zh-CN"/>
        </w:rPr>
        <w:t>）</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严格落实手术分级管理制度</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。医疗机构借助质量管理工具和信息化手段，充分评估手术风险程度、难易程度、资源消耗程度或伦理风险等因素，确定手术分级管理目录，所有手术与《手术操作分类代码国家临床版》一一对应，限制类</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医疗技术中涉及</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手术</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的，</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按照四级手术进行管理。按照本机构授权管理制度进行医师手术分级授权，落实周期性医师手术能力评价与再授权机制，倡导利用信息系统进行建档管理，将手术医师与每种手术一一对应，不仅限于与手术分级一一对应。</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向核发</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《医疗机构执业许可证》的卫生健康行政部门报送本机构三、四级手术管理目录信息，主动向社会公开</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三、四级手术管理目录，并及时更新。</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eastAsia="zh-CN"/>
        </w:rPr>
        <w:t>（</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5</w:t>
      </w:r>
      <w:r>
        <w:rPr>
          <w:rFonts w:hint="eastAsia" w:ascii="仿宋_GB2312" w:hAnsi="仿宋_GB2312" w:eastAsia="仿宋_GB2312" w:cs="仿宋_GB2312"/>
          <w:b w:val="0"/>
          <w:bCs w:val="0"/>
          <w:i w:val="0"/>
          <w:iCs w:val="0"/>
          <w:caps w:val="0"/>
          <w:color w:val="auto"/>
          <w:spacing w:val="0"/>
          <w:sz w:val="32"/>
          <w:szCs w:val="32"/>
          <w:highlight w:val="none"/>
          <w:u w:val="none"/>
          <w:lang w:eastAsia="zh-CN"/>
        </w:rPr>
        <w:t>）</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全面加强手术患者术前评估、麻醉评估，落实术前讨论制度，准确把握手术适应证和禁忌证，科学制订手术方案。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eastAsia="zh-CN"/>
        </w:rPr>
        <w:t>（</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6</w:t>
      </w:r>
      <w:r>
        <w:rPr>
          <w:rFonts w:hint="eastAsia" w:ascii="仿宋_GB2312" w:hAnsi="仿宋_GB2312" w:eastAsia="仿宋_GB2312" w:cs="仿宋_GB2312"/>
          <w:b w:val="0"/>
          <w:bCs w:val="0"/>
          <w:i w:val="0"/>
          <w:iCs w:val="0"/>
          <w:caps w:val="0"/>
          <w:color w:val="auto"/>
          <w:spacing w:val="0"/>
          <w:sz w:val="32"/>
          <w:szCs w:val="32"/>
          <w:highlight w:val="none"/>
          <w:u w:val="none"/>
          <w:lang w:eastAsia="zh-CN"/>
        </w:rPr>
        <w:t>）</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医疗机构医疗质量管理</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委员会</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要加强与信息部门沟通协作，完善医院信息系统功能，锁定四级手术目录，发挥科室质控员监督作用，提醒手术医师在规定时间内完成术前多学科讨论，</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上传</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相关</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医疗文书</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后进行手术预约。通过落实“提高四级手术术前多学科讨论完成率”，规范过程性行为，保障手术安全。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eastAsia="zh-CN"/>
        </w:rPr>
        <w:t>（</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7</w:t>
      </w:r>
      <w:r>
        <w:rPr>
          <w:rFonts w:hint="eastAsia" w:ascii="仿宋_GB2312" w:hAnsi="仿宋_GB2312" w:eastAsia="仿宋_GB2312" w:cs="仿宋_GB2312"/>
          <w:b w:val="0"/>
          <w:bCs w:val="0"/>
          <w:i w:val="0"/>
          <w:iCs w:val="0"/>
          <w:caps w:val="0"/>
          <w:color w:val="auto"/>
          <w:spacing w:val="0"/>
          <w:sz w:val="32"/>
          <w:szCs w:val="32"/>
          <w:highlight w:val="none"/>
          <w:u w:val="none"/>
          <w:lang w:eastAsia="zh-CN"/>
        </w:rPr>
        <w:t>）</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省麻醉、护理、消毒供应</w:t>
      </w:r>
      <w:r>
        <w:rPr>
          <w:rFonts w:hint="eastAsia" w:ascii="仿宋_GB2312" w:hAnsi="仿宋_GB2312" w:eastAsia="仿宋_GB2312" w:cs="仿宋_GB2312"/>
          <w:b w:val="0"/>
          <w:bCs w:val="0"/>
          <w:color w:val="auto"/>
          <w:sz w:val="32"/>
          <w:szCs w:val="32"/>
          <w:highlight w:val="none"/>
          <w:u w:val="none"/>
          <w:lang w:val="en-US" w:eastAsia="zh-CN"/>
        </w:rPr>
        <w:t>以及</w:t>
      </w:r>
      <w:r>
        <w:rPr>
          <w:rFonts w:hint="default" w:ascii="仿宋_GB2312" w:hAnsi="仿宋_GB2312" w:eastAsia="仿宋_GB2312" w:cs="仿宋_GB2312"/>
          <w:b w:val="0"/>
          <w:bCs w:val="0"/>
          <w:color w:val="auto"/>
          <w:sz w:val="32"/>
          <w:szCs w:val="32"/>
          <w:highlight w:val="none"/>
          <w:u w:val="none"/>
        </w:rPr>
        <w:t>涉及手术</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等质控中心要针对手术质量安全提升行动总体要求，剖析术质量安全影响因素，制定针对性的专项方案并组织实施。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楷体" w:hAnsi="楷体" w:eastAsia="楷体" w:cs="楷体"/>
          <w:b w:val="0"/>
          <w:bCs w:val="0"/>
          <w:i w:val="0"/>
          <w:iCs w:val="0"/>
          <w:caps w:val="0"/>
          <w:color w:val="auto"/>
          <w:spacing w:val="0"/>
          <w:sz w:val="32"/>
          <w:szCs w:val="32"/>
          <w:highlight w:val="none"/>
          <w:u w:val="none"/>
          <w:lang w:val="en-US" w:eastAsia="zh-CN"/>
        </w:rPr>
      </w:pPr>
      <w:r>
        <w:rPr>
          <w:rFonts w:hint="eastAsia" w:ascii="楷体" w:hAnsi="楷体" w:eastAsia="楷体" w:cs="楷体"/>
          <w:b w:val="0"/>
          <w:bCs w:val="0"/>
          <w:i w:val="0"/>
          <w:iCs w:val="0"/>
          <w:caps w:val="0"/>
          <w:color w:val="auto"/>
          <w:spacing w:val="0"/>
          <w:sz w:val="32"/>
          <w:szCs w:val="32"/>
          <w:highlight w:val="none"/>
          <w:u w:val="none"/>
          <w:lang w:val="en-US" w:eastAsia="zh-CN"/>
        </w:rPr>
        <w:t>（二）“破壁”</w:t>
      </w:r>
      <w:bookmarkStart w:id="0" w:name="_GoBack"/>
      <w:bookmarkEnd w:id="0"/>
      <w:r>
        <w:rPr>
          <w:rFonts w:hint="eastAsia" w:ascii="楷体" w:hAnsi="楷体" w:eastAsia="楷体" w:cs="楷体"/>
          <w:b w:val="0"/>
          <w:bCs w:val="0"/>
          <w:i w:val="0"/>
          <w:iCs w:val="0"/>
          <w:caps w:val="0"/>
          <w:color w:val="auto"/>
          <w:spacing w:val="0"/>
          <w:sz w:val="32"/>
          <w:szCs w:val="32"/>
          <w:highlight w:val="none"/>
          <w:u w:val="none"/>
          <w:lang w:val="en-US" w:eastAsia="zh-CN"/>
        </w:rPr>
        <w:t>行动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通过专项行动，促进</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医疗机构进一步强化“以患者为中心，以疾病为链条”的理念，打破传统学科划分和专业设置壁垒，</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在保障医疗安全的基础上优化要素配置和运行机制，</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以多学科协作（MDT）为基础，探索专病中心建设，为</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心、脑血管疾病，恶性肿瘤等重大疾病</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患者提供诊疗一站式服务。</w:t>
      </w:r>
    </w:p>
    <w:p>
      <w:pPr>
        <w:spacing w:line="560" w:lineRule="exact"/>
        <w:ind w:firstLine="642" w:firstLineChars="200"/>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1.全省目标。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全省急性ST段抬高型心肌梗死再灌注治疗率202</w:t>
      </w:r>
      <w:r>
        <w:rPr>
          <w:rFonts w:hint="default" w:ascii="仿宋_GB2312" w:hAnsi="仿宋_GB2312" w:eastAsia="仿宋_GB2312" w:cs="仿宋_GB2312"/>
          <w:b w:val="0"/>
          <w:bCs w:val="0"/>
          <w:i w:val="0"/>
          <w:iCs w:val="0"/>
          <w:caps w:val="0"/>
          <w:color w:val="auto"/>
          <w:spacing w:val="0"/>
          <w:sz w:val="32"/>
          <w:szCs w:val="32"/>
          <w:highlight w:val="none"/>
          <w:u w:val="none"/>
          <w:lang w:val="en" w:eastAsia="zh-CN"/>
        </w:rPr>
        <w:t>4</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年底提升至</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8</w:t>
      </w:r>
      <w:r>
        <w:rPr>
          <w:rFonts w:hint="default" w:ascii="仿宋_GB2312" w:hAnsi="仿宋_GB2312" w:eastAsia="仿宋_GB2312" w:cs="仿宋_GB2312"/>
          <w:b w:val="0"/>
          <w:bCs w:val="0"/>
          <w:i w:val="0"/>
          <w:iCs w:val="0"/>
          <w:caps w:val="0"/>
          <w:color w:val="auto"/>
          <w:spacing w:val="0"/>
          <w:sz w:val="32"/>
          <w:szCs w:val="32"/>
          <w:highlight w:val="none"/>
          <w:u w:val="none"/>
          <w:lang w:val="en" w:eastAsia="zh-CN"/>
        </w:rPr>
        <w:t>3</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%，2025年底提升至</w:t>
      </w:r>
      <w:r>
        <w:rPr>
          <w:rFonts w:hint="default" w:ascii="仿宋_GB2312" w:hAnsi="仿宋_GB2312" w:eastAsia="仿宋_GB2312" w:cs="仿宋_GB2312"/>
          <w:b w:val="0"/>
          <w:bCs w:val="0"/>
          <w:i w:val="0"/>
          <w:iCs w:val="0"/>
          <w:caps w:val="0"/>
          <w:color w:val="auto"/>
          <w:spacing w:val="0"/>
          <w:sz w:val="32"/>
          <w:szCs w:val="32"/>
          <w:highlight w:val="none"/>
          <w:u w:val="none"/>
          <w:lang w:val="en" w:eastAsia="zh-CN"/>
        </w:rPr>
        <w:t>85</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；急性脑梗死再灌注治疗率202</w:t>
      </w:r>
      <w:r>
        <w:rPr>
          <w:rFonts w:hint="default" w:ascii="仿宋_GB2312" w:hAnsi="仿宋_GB2312" w:eastAsia="仿宋_GB2312" w:cs="仿宋_GB2312"/>
          <w:b w:val="0"/>
          <w:bCs w:val="0"/>
          <w:i w:val="0"/>
          <w:iCs w:val="0"/>
          <w:caps w:val="0"/>
          <w:color w:val="auto"/>
          <w:spacing w:val="0"/>
          <w:sz w:val="32"/>
          <w:szCs w:val="32"/>
          <w:highlight w:val="none"/>
          <w:u w:val="none"/>
          <w:lang w:val="en" w:eastAsia="zh-CN"/>
        </w:rPr>
        <w:t>4</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年底提升至45%，2025年底提升至55%。乳腺癌、肺癌、结直肠癌等专病的诊疗模式和组织形式有创新性突破。</w:t>
      </w:r>
    </w:p>
    <w:p>
      <w:pPr>
        <w:spacing w:line="560" w:lineRule="exact"/>
        <w:ind w:firstLine="642" w:firstLineChars="200"/>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bCs/>
          <w:color w:val="auto"/>
          <w:sz w:val="32"/>
          <w:szCs w:val="32"/>
          <w:highlight w:val="none"/>
          <w:lang w:val="en-US" w:eastAsia="zh-CN"/>
        </w:rPr>
        <w:t>2.职责措施。</w:t>
      </w:r>
    </w:p>
    <w:p>
      <w:pPr>
        <w:spacing w:line="560" w:lineRule="exact"/>
        <w:ind w:firstLine="640" w:firstLineChars="200"/>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（1）卫生健康行政部门</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围绕专项行动目标值</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，按照医政医管工作要点要求，制定符合辖区实际、分步骤的相应目标值，以“三大中心”建设为契机，完善体制、机制，优化资源配置持续提高重大疾病救治能力和效果。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（2）医疗机构要全面梳理诊疗所需的医务人员、设施设备、医疗技术、药品器械等要素状况，合理调配医师，科学配备设施、设备，规范诊疗行为，减少中间环节，提高诊疗效率。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default" w:ascii="仿宋_GB2312" w:hAnsi="仿宋_GB2312" w:eastAsia="仿宋_GB2312" w:cs="仿宋_GB2312"/>
          <w:b w:val="0"/>
          <w:bCs w:val="0"/>
          <w:i w:val="0"/>
          <w:iCs w:val="0"/>
          <w:caps w:val="0"/>
          <w:color w:val="auto"/>
          <w:spacing w:val="0"/>
          <w:sz w:val="32"/>
          <w:szCs w:val="32"/>
          <w:highlight w:val="none"/>
          <w:u w:val="none"/>
          <w:lang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（3）倡导将重大疾病MDT</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嵌</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入医院信息系统，</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将涉及专业的医师链接进入MDT路径，以便首诊医师能迅速</w:t>
      </w:r>
      <w:r>
        <w:rPr>
          <w:rFonts w:hint="eastAsia" w:ascii="仿宋_GB2312" w:hAnsi="仿宋_GB2312" w:eastAsia="仿宋_GB2312" w:cs="仿宋_GB2312"/>
          <w:b w:val="0"/>
          <w:bCs w:val="0"/>
          <w:i w:val="0"/>
          <w:iCs w:val="0"/>
          <w:caps w:val="0"/>
          <w:color w:val="auto"/>
          <w:spacing w:val="0"/>
          <w:sz w:val="32"/>
          <w:szCs w:val="32"/>
          <w:highlight w:val="none"/>
          <w:u w:val="none"/>
          <w:lang w:eastAsia="zh-CN"/>
        </w:rPr>
        <w:t>、</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准确的发起</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MDT,通过系统计算，组合相应医师参与，提高</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工作效率</w:t>
      </w:r>
      <w:r>
        <w:rPr>
          <w:rFonts w:hint="eastAsia" w:ascii="仿宋_GB2312" w:hAnsi="仿宋_GB2312" w:eastAsia="仿宋_GB2312" w:cs="仿宋_GB2312"/>
          <w:b w:val="0"/>
          <w:bCs w:val="0"/>
          <w:i w:val="0"/>
          <w:iCs w:val="0"/>
          <w:caps w:val="0"/>
          <w:color w:val="auto"/>
          <w:spacing w:val="0"/>
          <w:sz w:val="32"/>
          <w:szCs w:val="32"/>
          <w:highlight w:val="none"/>
          <w:u w:val="none"/>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（4）肿瘤、脑卒中、神经内科、心血管病介入诊疗、急诊、病案等质控中心要加强协作配合，为实现MDT信息</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化</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管理提供专业支持。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楷体" w:hAnsi="楷体" w:eastAsia="楷体" w:cs="楷体"/>
          <w:b w:val="0"/>
          <w:bCs w:val="0"/>
          <w:i w:val="0"/>
          <w:iCs w:val="0"/>
          <w:caps w:val="0"/>
          <w:color w:val="auto"/>
          <w:spacing w:val="0"/>
          <w:sz w:val="32"/>
          <w:szCs w:val="32"/>
          <w:highlight w:val="none"/>
          <w:u w:val="none"/>
          <w:lang w:val="en-US" w:eastAsia="zh-CN"/>
        </w:rPr>
      </w:pPr>
      <w:r>
        <w:rPr>
          <w:rFonts w:hint="eastAsia" w:ascii="楷体" w:hAnsi="楷体" w:eastAsia="楷体" w:cs="楷体"/>
          <w:b w:val="0"/>
          <w:bCs w:val="0"/>
          <w:i w:val="0"/>
          <w:iCs w:val="0"/>
          <w:caps w:val="0"/>
          <w:color w:val="auto"/>
          <w:spacing w:val="0"/>
          <w:sz w:val="32"/>
          <w:szCs w:val="32"/>
          <w:highlight w:val="none"/>
          <w:u w:val="none"/>
          <w:lang w:val="en-US" w:eastAsia="zh-CN"/>
        </w:rPr>
        <w:t>（三）病历内涵质量提升行动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通过专项行动，以教育培训、质控抽查、优秀病案评比和宣传交流为主要方式，引导医疗机构落实国家病历书写、管理和应用的相关规定，强化病历内涵意识，提升病历客观、真</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实</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、准确、及时、完整、规范水平，更好体现临床诊疗思维和过程。</w:t>
      </w:r>
    </w:p>
    <w:p>
      <w:pPr>
        <w:spacing w:line="560" w:lineRule="exact"/>
        <w:ind w:firstLine="642" w:firstLineChars="200"/>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1.全省目标。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到2024年</w:t>
      </w:r>
      <w:r>
        <w:rPr>
          <w:rFonts w:hint="default" w:ascii="仿宋_GB2312" w:hAnsi="仿宋_GB2312" w:eastAsia="仿宋_GB2312" w:cs="仿宋_GB2312"/>
          <w:b w:val="0"/>
          <w:bCs w:val="0"/>
          <w:color w:val="auto"/>
          <w:sz w:val="32"/>
          <w:szCs w:val="32"/>
          <w:highlight w:val="none"/>
        </w:rPr>
        <w:t>底</w:t>
      </w:r>
      <w:r>
        <w:rPr>
          <w:rFonts w:hint="eastAsia" w:ascii="仿宋_GB2312" w:hAnsi="仿宋_GB2312" w:eastAsia="仿宋_GB2312" w:cs="仿宋_GB2312"/>
          <w:b w:val="0"/>
          <w:bCs w:val="0"/>
          <w:color w:val="auto"/>
          <w:sz w:val="32"/>
          <w:szCs w:val="32"/>
          <w:highlight w:val="none"/>
        </w:rPr>
        <w:t>，病案首页主要诊断编码正确率不低于</w:t>
      </w:r>
      <w:r>
        <w:rPr>
          <w:rFonts w:hint="default" w:ascii="仿宋_GB2312" w:hAnsi="仿宋_GB2312" w:eastAsia="仿宋_GB2312" w:cs="仿宋_GB2312"/>
          <w:b w:val="0"/>
          <w:bCs w:val="0"/>
          <w:color w:val="auto"/>
          <w:sz w:val="32"/>
          <w:szCs w:val="32"/>
          <w:highlight w:val="none"/>
        </w:rPr>
        <w:t>88</w:t>
      </w:r>
      <w:r>
        <w:rPr>
          <w:rFonts w:hint="eastAsia" w:ascii="仿宋_GB2312" w:hAnsi="仿宋_GB2312" w:eastAsia="仿宋_GB2312" w:cs="仿宋_GB2312"/>
          <w:b w:val="0"/>
          <w:bCs w:val="0"/>
          <w:color w:val="auto"/>
          <w:sz w:val="32"/>
          <w:szCs w:val="32"/>
          <w:highlight w:val="none"/>
        </w:rPr>
        <w:t>%；到2025年底，病案首页主要诊断编码正确率不低于90%。</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2" w:firstLineChars="200"/>
        <w:jc w:val="both"/>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bCs/>
          <w:color w:val="auto"/>
          <w:kern w:val="2"/>
          <w:sz w:val="32"/>
          <w:szCs w:val="32"/>
          <w:highlight w:val="none"/>
          <w:lang w:val="en-US" w:eastAsia="zh-CN" w:bidi="ar-SA"/>
        </w:rPr>
        <w:t>2.职责措施。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（1）卫生健康行政部门要</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落实改进目标要求，</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以国家公立医院绩效考核为杠杆，以电子病历系统建设为契机，不断提升病历内涵质量。明确符合辖区实际、分步骤的病案首页主要</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诊断</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编码正确率目标值（不低于我省目标），积极组织医疗机构参与全省、全国百佳病案评选。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（2）医疗机构要以提升病历内涵质量和完整性、及时性为核心任务，加强编码管理和病历质量培训，规范病历书写。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（3）以首次病程</w:t>
      </w:r>
      <w:r>
        <w:rPr>
          <w:rFonts w:hint="eastAsia" w:ascii="仿宋_GB2312" w:hAnsi="仿宋_GB2312" w:eastAsia="仿宋_GB2312" w:cs="仿宋_GB2312"/>
          <w:b w:val="0"/>
          <w:bCs w:val="0"/>
          <w:i w:val="0"/>
          <w:iCs w:val="0"/>
          <w:caps w:val="0"/>
          <w:color w:val="auto"/>
          <w:spacing w:val="0"/>
          <w:sz w:val="32"/>
          <w:szCs w:val="32"/>
          <w:highlight w:val="none"/>
          <w:u w:val="none"/>
          <w:lang w:eastAsia="zh-CN"/>
        </w:rPr>
        <w:t>记录</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、上级医师查房</w:t>
      </w:r>
      <w:r>
        <w:rPr>
          <w:rFonts w:hint="eastAsia" w:ascii="仿宋_GB2312" w:hAnsi="仿宋_GB2312" w:eastAsia="仿宋_GB2312" w:cs="仿宋_GB2312"/>
          <w:b w:val="0"/>
          <w:bCs w:val="0"/>
          <w:color w:val="auto"/>
          <w:sz w:val="32"/>
          <w:szCs w:val="32"/>
          <w:highlight w:val="none"/>
          <w:u w:val="none"/>
        </w:rPr>
        <w:t>记录</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w:t>
      </w:r>
      <w:r>
        <w:rPr>
          <w:rFonts w:hint="eastAsia" w:ascii="仿宋_GB2312" w:hAnsi="仿宋_GB2312" w:eastAsia="仿宋_GB2312" w:cs="仿宋_GB2312"/>
          <w:b w:val="0"/>
          <w:bCs w:val="0"/>
          <w:i w:val="0"/>
          <w:iCs w:val="0"/>
          <w:caps w:val="0"/>
          <w:color w:val="auto"/>
          <w:spacing w:val="0"/>
          <w:sz w:val="32"/>
          <w:szCs w:val="32"/>
          <w:highlight w:val="none"/>
          <w:u w:val="none"/>
          <w:lang w:eastAsia="zh-CN"/>
        </w:rPr>
        <w:t>术前小结、</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手术记录、阶段小结、出院小结等反映诊疗计划和关键过程的病历内容为重点强化管理，提升医疗质量安全意识和水平。</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（4）推行门（急）诊结构化病历，提高使用比例</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各医疗机构要结合工作实际，制定、完善适合本机构的结构化模板，提高记录规范性和完整性。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黑体" w:hAnsi="黑体" w:eastAsia="黑体" w:cs="黑体"/>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（5）省病案、门诊、急诊等质控中心要按照《病历书写基本规范》等要求，指导门（急）诊结构化病历模</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板</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制定等工作，确保记录合规基础上，减轻医务人员劳动强度。省病案质控中心围绕质控工作改进目标、质控指标，组织开展全省百佳病案评选工作。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楷体" w:hAnsi="楷体" w:eastAsia="楷体" w:cs="楷体"/>
          <w:b w:val="0"/>
          <w:bCs w:val="0"/>
          <w:i w:val="0"/>
          <w:iCs w:val="0"/>
          <w:caps w:val="0"/>
          <w:color w:val="auto"/>
          <w:spacing w:val="0"/>
          <w:sz w:val="32"/>
          <w:szCs w:val="32"/>
          <w:highlight w:val="none"/>
          <w:u w:val="none"/>
          <w:lang w:val="en-US" w:eastAsia="zh-CN"/>
        </w:rPr>
      </w:pPr>
      <w:r>
        <w:rPr>
          <w:rFonts w:hint="eastAsia" w:ascii="楷体" w:hAnsi="楷体" w:eastAsia="楷体" w:cs="楷体"/>
          <w:b w:val="0"/>
          <w:bCs w:val="0"/>
          <w:i w:val="0"/>
          <w:iCs w:val="0"/>
          <w:caps w:val="0"/>
          <w:color w:val="auto"/>
          <w:spacing w:val="0"/>
          <w:sz w:val="32"/>
          <w:szCs w:val="32"/>
          <w:highlight w:val="none"/>
          <w:u w:val="none"/>
          <w:lang w:val="en-US" w:eastAsia="zh-CN"/>
        </w:rPr>
        <w:t>（四）患者安全专项行动。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通过专项行动，以提高每百出院人次主动报告不良事件年例次数为目标，医疗机构组织开展全员参与，覆盖诊疗服务、基础设施、应急处置全过程的安全隐患排查，优化应急预案，持续培训演练。强化非惩罚性报告机制，提高识别能力，优化报告途径，鼓励医务人员报告不良事件，塑造良好的质量安全氛围。</w:t>
      </w:r>
    </w:p>
    <w:p>
      <w:pPr>
        <w:spacing w:line="560" w:lineRule="exact"/>
        <w:ind w:firstLine="642" w:firstLineChars="200"/>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1.我省目标。</w:t>
      </w:r>
    </w:p>
    <w:p>
      <w:pPr>
        <w:spacing w:line="560" w:lineRule="exact"/>
        <w:ind w:firstLine="640" w:firstLineChars="200"/>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2024年底，每百出院人次主动报告不良事件年均大于2.</w:t>
      </w:r>
      <w:r>
        <w:rPr>
          <w:rFonts w:hint="default" w:ascii="仿宋" w:hAnsi="仿宋" w:eastAsia="仿宋" w:cs="仿宋"/>
          <w:b w:val="0"/>
          <w:bCs w:val="0"/>
          <w:color w:val="auto"/>
          <w:sz w:val="32"/>
          <w:szCs w:val="32"/>
          <w:highlight w:val="none"/>
        </w:rPr>
        <w:t>0</w:t>
      </w:r>
      <w:r>
        <w:rPr>
          <w:rFonts w:hint="eastAsia" w:ascii="仿宋" w:hAnsi="仿宋" w:eastAsia="仿宋" w:cs="仿宋"/>
          <w:b w:val="0"/>
          <w:bCs w:val="0"/>
          <w:color w:val="auto"/>
          <w:sz w:val="32"/>
          <w:szCs w:val="32"/>
          <w:highlight w:val="none"/>
        </w:rPr>
        <w:t>例次；2025年底</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大于2.5例次。</w:t>
      </w:r>
    </w:p>
    <w:p>
      <w:pPr>
        <w:spacing w:line="560" w:lineRule="exact"/>
        <w:ind w:firstLine="642" w:firstLineChars="200"/>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2.职责措施。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（1）卫生健康行政部门要落实国家年度医疗质量安全改进目标要求，明确符合辖区实际</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、分步骤的专项行动</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目标值（不低于我省目标值），引导、指导医疗机构正确认识医疗质量安全不良事件报告工作，通过开展专项评价等形式，及时发现问题，督促医疗机构提升认识、完善制度、优化流程、改进工作。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（2）</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医疗机构</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建立、完善本机构医疗质量（安全）不良事件</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监测、</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报告及评价机制，定期进行数据分析，</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查找</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反馈医疗质量安全不良事件例数及构成、等级构成、所处服务阶段、发生时间、地点、诊疗疾病状态等具体信息，发现制度、流程、实践过程中存在的问题，采取培训教育、更新规章制度流程、改变系统运行模式等预防方法</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，开展系统性改进工作。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（3）</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进一步提升医务人员</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识别、防范能力，重点提升医疗质量安全隐患问题或未造成严重不良后果的负性事件识别能力，引导、鼓励、强化医务人员主动发现和积极上报，营造非惩罚性文化氛围。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（4）医疗机构要关注NCIS“医疗质量安全报告和学习平台”，将医疗质量安全不良事件管理纳入医院信息系统，通过自动提取、提醒上报、分类汇总、结果送达等流程管理，提高上报率。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b w:val="0"/>
          <w:bCs w:val="0"/>
          <w:color w:val="auto"/>
          <w:sz w:val="32"/>
          <w:szCs w:val="32"/>
          <w:highlight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（5）各级各专业质控中心要将患者安全管理纳入日常质量控制工作，落实、完善符合实际的质控指标，并指导医疗机构贯彻落实。</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楷体" w:hAnsi="楷体" w:eastAsia="楷体" w:cs="楷体"/>
          <w:b w:val="0"/>
          <w:bCs w:val="0"/>
          <w:i w:val="0"/>
          <w:iCs w:val="0"/>
          <w:caps w:val="0"/>
          <w:color w:val="auto"/>
          <w:spacing w:val="0"/>
          <w:sz w:val="32"/>
          <w:szCs w:val="32"/>
          <w:highlight w:val="none"/>
          <w:u w:val="none"/>
          <w:lang w:val="en-US" w:eastAsia="zh-CN"/>
        </w:rPr>
      </w:pPr>
      <w:r>
        <w:rPr>
          <w:rFonts w:hint="eastAsia" w:ascii="楷体" w:hAnsi="楷体" w:eastAsia="楷体" w:cs="楷体"/>
          <w:b w:val="0"/>
          <w:bCs w:val="0"/>
          <w:i w:val="0"/>
          <w:iCs w:val="0"/>
          <w:caps w:val="0"/>
          <w:color w:val="auto"/>
          <w:spacing w:val="0"/>
          <w:sz w:val="32"/>
          <w:szCs w:val="32"/>
          <w:highlight w:val="none"/>
          <w:u w:val="none"/>
          <w:lang w:val="en-US" w:eastAsia="zh-CN"/>
        </w:rPr>
        <w:t>（五）“织网”行动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通过专项行动，卫生健康行政部门织密质量管理网络，规范质控中心建设管理（含中医药主管部门），进一步扩大质控工作覆盖范围，将部分重点专业质控组织延伸至县区。</w:t>
      </w:r>
    </w:p>
    <w:p>
      <w:pPr>
        <w:spacing w:line="560" w:lineRule="exact"/>
        <w:ind w:firstLine="642" w:firstLineChars="200"/>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1.我省目标。</w:t>
      </w:r>
    </w:p>
    <w:p>
      <w:pPr>
        <w:spacing w:line="560" w:lineRule="exact"/>
        <w:ind w:firstLine="640" w:firstLineChars="200"/>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对照国家级质控中心设置清单，到2025年底，完善3大类6个领域70个具体方向质控组织建设，不少于10个中医专业省级质控中心。不少于1000个市级质控中心，不少于</w:t>
      </w:r>
      <w:r>
        <w:rPr>
          <w:rFonts w:hint="default" w:ascii="仿宋" w:hAnsi="仿宋" w:eastAsia="仿宋" w:cs="仿宋"/>
          <w:b w:val="0"/>
          <w:bCs w:val="0"/>
          <w:color w:val="auto"/>
          <w:sz w:val="32"/>
          <w:szCs w:val="32"/>
          <w:highlight w:val="none"/>
          <w:lang w:eastAsia="zh-CN"/>
        </w:rPr>
        <w:t>800</w:t>
      </w:r>
      <w:r>
        <w:rPr>
          <w:rFonts w:hint="eastAsia" w:ascii="仿宋" w:hAnsi="仿宋" w:eastAsia="仿宋" w:cs="仿宋"/>
          <w:b w:val="0"/>
          <w:bCs w:val="0"/>
          <w:color w:val="auto"/>
          <w:sz w:val="32"/>
          <w:szCs w:val="32"/>
          <w:highlight w:val="none"/>
          <w:lang w:val="en-US" w:eastAsia="zh-CN"/>
        </w:rPr>
        <w:t>个县（市）级质控中心（组织）。质控工作逐步覆盖住院、日间、门（急）诊等全诊疗人群。其中，心血管疾病、神经系统疾病、肿瘤、麻醉、重症、药事、病案、康复、临床营养、院感、护理、急诊、产科、儿科、口腔、病理等16个专业质控中心实现地市级全覆盖、延伸至50%以上的县域；全省纳入单病种管理的病种（技术）数量不少于100个。50%的省级质控中心按年度发布本专业医疗服务与质量安全报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2" w:firstLineChars="200"/>
        <w:jc w:val="both"/>
        <w:rPr>
          <w:rFonts w:hint="eastAsia" w:ascii="仿宋_GB2312" w:hAnsi="仿宋_GB2312" w:eastAsia="仿宋_GB2312" w:cs="仿宋_GB2312"/>
          <w:b/>
          <w:bCs/>
          <w:i w:val="0"/>
          <w:iCs w:val="0"/>
          <w:caps w:val="0"/>
          <w:color w:val="auto"/>
          <w:spacing w:val="0"/>
          <w:sz w:val="32"/>
          <w:szCs w:val="32"/>
          <w:highlight w:val="none"/>
          <w:u w:val="none"/>
          <w:lang w:val="en-US" w:eastAsia="zh-CN"/>
        </w:rPr>
      </w:pPr>
      <w:r>
        <w:rPr>
          <w:rFonts w:hint="eastAsia" w:ascii="仿宋_GB2312" w:hAnsi="仿宋_GB2312" w:eastAsia="仿宋_GB2312" w:cs="仿宋_GB2312"/>
          <w:b/>
          <w:bCs/>
          <w:i w:val="0"/>
          <w:iCs w:val="0"/>
          <w:caps w:val="0"/>
          <w:color w:val="auto"/>
          <w:spacing w:val="0"/>
          <w:sz w:val="32"/>
          <w:szCs w:val="32"/>
          <w:highlight w:val="none"/>
          <w:u w:val="none"/>
          <w:lang w:val="en-US" w:eastAsia="zh-CN"/>
        </w:rPr>
        <w:t>2.职责措施。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卫生健康行政部门按照《河南省医疗质量控制中心管理办法》等要求，结合工作实际，以满足当前质控工作总体要求为出发点，成立、整合质控中心，完善管理制度，强化指导考核，提高质控中心规范化、科学化、专业化运行水平，充分体现在质量持续改进过程中的作用与价值。</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3.倡导各级卫生健康行政部门组建</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医疗</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质</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量</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控</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制</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中心管理办公室，或指定专门组织负责本级质控中心的日常管理工作。每季度召开至少1次专题会议，研究质控体系建设运行、改进目标落实、质量安全提升行动推进等相关工作。通过定期组织交流、学习、借鉴其他质控组织的先进经验，迅速、准确提升自身管理水平。</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4.省卫生健康委组建省级医疗质量管理智库，不断培养、吸纳、储备优秀质控管理人才。广泛、按需、精准组织相关专业质控中心进行调研指导评价，促进医疗机构质量内涵不断深化。</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5.省级质控中心以发布本专业医疗服务与质量安全报告为工作目标，运用质量管理工具，及时发现医疗质量薄弱环节，精准分析问题、精准明确措施、精准指导评价、精准落地见效，指导医疗机构围绕高质量发展战略，在自身持续改进过程中，实现优质医疗资源扩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黑体" w:hAnsi="黑体" w:eastAsia="黑体" w:cs="黑体"/>
          <w:b w:val="0"/>
          <w:bCs w:val="0"/>
          <w:i w:val="0"/>
          <w:iCs w:val="0"/>
          <w:caps w:val="0"/>
          <w:color w:val="auto"/>
          <w:spacing w:val="0"/>
          <w:sz w:val="32"/>
          <w:szCs w:val="32"/>
          <w:highlight w:val="none"/>
          <w:u w:val="none"/>
          <w:lang w:val="en-US" w:eastAsia="zh-CN"/>
        </w:rPr>
      </w:pPr>
      <w:r>
        <w:rPr>
          <w:rFonts w:hint="eastAsia" w:ascii="黑体" w:hAnsi="黑体" w:eastAsia="黑体" w:cs="黑体"/>
          <w:b w:val="0"/>
          <w:bCs w:val="0"/>
          <w:i w:val="0"/>
          <w:iCs w:val="0"/>
          <w:caps w:val="0"/>
          <w:color w:val="auto"/>
          <w:spacing w:val="0"/>
          <w:sz w:val="32"/>
          <w:szCs w:val="32"/>
          <w:highlight w:val="none"/>
          <w:u w:val="none"/>
          <w:lang w:val="en-US" w:eastAsia="zh-CN"/>
        </w:rPr>
        <w:t>六、工作安排</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楷体_GB2312" w:hAnsi="楷体_GB2312" w:eastAsia="楷体_GB2312" w:cs="楷体_GB2312"/>
          <w:b w:val="0"/>
          <w:bCs w:val="0"/>
          <w:i w:val="0"/>
          <w:iCs w:val="0"/>
          <w:caps w:val="0"/>
          <w:color w:val="auto"/>
          <w:spacing w:val="0"/>
          <w:sz w:val="32"/>
          <w:szCs w:val="32"/>
          <w:highlight w:val="none"/>
          <w:u w:val="none"/>
          <w:lang w:val="en-US" w:eastAsia="zh-CN"/>
        </w:rPr>
      </w:pPr>
      <w:r>
        <w:rPr>
          <w:rFonts w:hint="eastAsia" w:ascii="楷体_GB2312" w:hAnsi="楷体_GB2312" w:eastAsia="楷体_GB2312" w:cs="楷体_GB2312"/>
          <w:b w:val="0"/>
          <w:bCs w:val="0"/>
          <w:i w:val="0"/>
          <w:iCs w:val="0"/>
          <w:caps w:val="0"/>
          <w:color w:val="auto"/>
          <w:spacing w:val="0"/>
          <w:sz w:val="32"/>
          <w:szCs w:val="32"/>
          <w:highlight w:val="none"/>
          <w:u w:val="none"/>
          <w:lang w:val="en-US" w:eastAsia="zh-CN"/>
        </w:rPr>
        <w:t>（一）启动部署阶段（2023年6月—8月）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河南省</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卫生健康委制发</w:t>
      </w:r>
      <w:r>
        <w:rPr>
          <w:rFonts w:hint="eastAsia" w:ascii="仿宋_GB2312" w:hAnsi="仿宋_GB2312" w:eastAsia="仿宋_GB2312" w:cs="仿宋_GB2312"/>
          <w:b w:val="0"/>
          <w:bCs w:val="0"/>
          <w:i w:val="0"/>
          <w:iCs w:val="0"/>
          <w:caps w:val="0"/>
          <w:color w:val="auto"/>
          <w:spacing w:val="0"/>
          <w:sz w:val="32"/>
          <w:szCs w:val="32"/>
          <w:highlight w:val="none"/>
          <w:u w:val="none"/>
          <w:lang w:eastAsia="zh-CN"/>
        </w:rPr>
        <w:t>行动实施方案</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，召开工作会议安排具体工作。</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市</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级卫生健康行政部门</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视情可细化工作要求，</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部署本辖区行动相关工作</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，安排部署情况</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报</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省</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卫生健康委备案。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楷体_GB2312" w:hAnsi="楷体_GB2312" w:eastAsia="楷体_GB2312" w:cs="楷体_GB2312"/>
          <w:b w:val="0"/>
          <w:bCs w:val="0"/>
          <w:i w:val="0"/>
          <w:iCs w:val="0"/>
          <w:caps w:val="0"/>
          <w:color w:val="auto"/>
          <w:spacing w:val="0"/>
          <w:sz w:val="32"/>
          <w:szCs w:val="32"/>
          <w:highlight w:val="none"/>
          <w:u w:val="none"/>
          <w:lang w:val="en-US" w:eastAsia="zh-CN"/>
        </w:rPr>
      </w:pPr>
      <w:r>
        <w:rPr>
          <w:rFonts w:hint="eastAsia" w:ascii="楷体_GB2312" w:hAnsi="楷体_GB2312" w:eastAsia="楷体_GB2312" w:cs="楷体_GB2312"/>
          <w:b w:val="0"/>
          <w:bCs w:val="0"/>
          <w:i w:val="0"/>
          <w:iCs w:val="0"/>
          <w:caps w:val="0"/>
          <w:color w:val="auto"/>
          <w:spacing w:val="0"/>
          <w:sz w:val="32"/>
          <w:szCs w:val="32"/>
          <w:highlight w:val="none"/>
          <w:u w:val="none"/>
          <w:lang w:val="en-US" w:eastAsia="zh-CN"/>
        </w:rPr>
        <w:t>（二）实施提升阶段（2023年9月—2025年9月）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各级卫生健康行政部门按年度</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计划</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进行工作部署和工作总结。各地按照本</w:t>
      </w:r>
      <w:r>
        <w:rPr>
          <w:rFonts w:hint="eastAsia" w:ascii="仿宋_GB2312" w:hAnsi="仿宋_GB2312" w:eastAsia="仿宋_GB2312" w:cs="仿宋_GB2312"/>
          <w:b w:val="0"/>
          <w:bCs w:val="0"/>
          <w:i w:val="0"/>
          <w:iCs w:val="0"/>
          <w:caps w:val="0"/>
          <w:color w:val="auto"/>
          <w:spacing w:val="0"/>
          <w:sz w:val="32"/>
          <w:szCs w:val="32"/>
          <w:highlight w:val="none"/>
          <w:u w:val="none"/>
          <w:lang w:eastAsia="zh-CN"/>
        </w:rPr>
        <w:t>工作方案</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分别落实工作，加强指导评估，及时解决共性问题。发掘先进做法和典型经验，遴选年度典型案例并进行宣传推广。</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省卫生健康委将在实施过程中阶段性总结先进经验、优秀案例和阶段性成效，通过HNCIS、豫见康公众号等多种渠道予以宣传推广。</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楷体_GB2312" w:hAnsi="楷体_GB2312" w:eastAsia="楷体_GB2312" w:cs="楷体_GB2312"/>
          <w:b w:val="0"/>
          <w:bCs w:val="0"/>
          <w:i w:val="0"/>
          <w:iCs w:val="0"/>
          <w:caps w:val="0"/>
          <w:color w:val="auto"/>
          <w:spacing w:val="0"/>
          <w:sz w:val="32"/>
          <w:szCs w:val="32"/>
          <w:highlight w:val="none"/>
          <w:u w:val="none"/>
          <w:lang w:val="en-US" w:eastAsia="zh-CN"/>
        </w:rPr>
        <w:t>（三）评估总结（2025年10月-12月）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在各地总结的基础上，</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省</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卫生健康委对质量安全提升工作进行</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中期、终期</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总结评估，提炼工作经验，通报典型案例，加强</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舆论</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宣传，营造良好氛围</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对于工作中发掘的先进做法和典型经验，推动形成制度性安排。</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黑体" w:hAnsi="黑体" w:eastAsia="黑体" w:cs="黑体"/>
          <w:b w:val="0"/>
          <w:bCs w:val="0"/>
          <w:i w:val="0"/>
          <w:iCs w:val="0"/>
          <w:caps w:val="0"/>
          <w:color w:val="auto"/>
          <w:spacing w:val="0"/>
          <w:sz w:val="32"/>
          <w:szCs w:val="32"/>
          <w:highlight w:val="none"/>
          <w:u w:val="none"/>
          <w:lang w:val="en-US" w:eastAsia="zh-CN"/>
        </w:rPr>
      </w:pPr>
      <w:r>
        <w:rPr>
          <w:rFonts w:hint="eastAsia" w:ascii="黑体" w:hAnsi="黑体" w:eastAsia="黑体" w:cs="黑体"/>
          <w:b w:val="0"/>
          <w:bCs w:val="0"/>
          <w:i w:val="0"/>
          <w:iCs w:val="0"/>
          <w:caps w:val="0"/>
          <w:color w:val="auto"/>
          <w:spacing w:val="0"/>
          <w:sz w:val="32"/>
          <w:szCs w:val="32"/>
          <w:highlight w:val="none"/>
          <w:u w:val="none"/>
          <w:lang w:val="en-US" w:eastAsia="zh-CN"/>
        </w:rPr>
        <w:t>七、工作要求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楷体_GB2312" w:hAnsi="楷体_GB2312" w:eastAsia="楷体_GB2312" w:cs="楷体_GB2312"/>
          <w:b w:val="0"/>
          <w:bCs w:val="0"/>
          <w:i w:val="0"/>
          <w:iCs w:val="0"/>
          <w:caps w:val="0"/>
          <w:color w:val="auto"/>
          <w:spacing w:val="0"/>
          <w:sz w:val="32"/>
          <w:szCs w:val="32"/>
          <w:highlight w:val="none"/>
          <w:u w:val="none"/>
          <w:lang w:val="en-US" w:eastAsia="zh-CN"/>
        </w:rPr>
        <w:t>（一）加强组织领导。</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各</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地、各医疗机构</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要</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准确把握国家、省级卫生健康行政部门</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决策意图、政策精神</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充分认识全面提升医疗质量行动的重要意义，按照上下贯通、统筹兼顾、系统谋划、整体推进的思路，</w:t>
      </w:r>
      <w:r>
        <w:rPr>
          <w:rFonts w:ascii="仿宋_GB2312" w:hAnsi="仿宋_GB2312" w:eastAsia="仿宋_GB2312" w:cs="仿宋_GB2312"/>
          <w:b w:val="0"/>
          <w:bCs w:val="0"/>
          <w:color w:val="auto"/>
          <w:sz w:val="32"/>
          <w:szCs w:val="32"/>
          <w:highlight w:val="none"/>
          <w:u w:val="none"/>
        </w:rPr>
        <w:t>践行“深、实、细、准、效”调研五字诀，</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以“三学三问”为工作方法和载体</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把</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主题</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教育的实际成效转化为干事创业的实际本领</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卫生健康行政部门负责同志要亲自抓，</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医疗机构主要负责</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人</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要亲自研究、靠前领导，明确</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任务</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分工，层层压实责任，</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细化政策措施，</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以</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对人民健康高度负责任的态度抓好工作落实。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楷体_GB2312" w:hAnsi="楷体_GB2312" w:eastAsia="楷体_GB2312" w:cs="楷体_GB2312"/>
          <w:b w:val="0"/>
          <w:bCs w:val="0"/>
          <w:i w:val="0"/>
          <w:iCs w:val="0"/>
          <w:caps w:val="0"/>
          <w:color w:val="auto"/>
          <w:spacing w:val="0"/>
          <w:sz w:val="32"/>
          <w:szCs w:val="32"/>
          <w:highlight w:val="none"/>
          <w:u w:val="none"/>
          <w:lang w:val="en-US" w:eastAsia="zh-CN"/>
        </w:rPr>
        <w:t>（二）做好政策协同。</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卫生健康行政部门</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、医疗机构要处理好全面提升医疗质量行动与系列重点工作的局部与</w:t>
      </w:r>
      <w:r>
        <w:rPr>
          <w:rFonts w:ascii="仿宋_GB2312" w:hAnsi="仿宋_GB2312" w:eastAsia="仿宋_GB2312" w:cs="仿宋_GB2312"/>
          <w:b w:val="0"/>
          <w:bCs w:val="0"/>
          <w:color w:val="auto"/>
          <w:sz w:val="32"/>
          <w:szCs w:val="32"/>
          <w:highlight w:val="none"/>
        </w:rPr>
        <w:t>全局、当前和长远、主要矛盾和次要矛盾等各方面关系。</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医疗机构</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要进一步</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健全</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完善</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相关制度规范</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强化基础医疗</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质量</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管理，充分利用医院评审、绩效考核、专科评估等工作抓手，</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将</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指标</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分解</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到</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相关部门、</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科室</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指定专门部门督促落实，加强日常监测、分析和反馈，</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促进</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行动顺利开展。</w:t>
      </w:r>
    </w:p>
    <w:p>
      <w:pPr>
        <w:pStyle w:val="6"/>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default" w:ascii="楷体_GB2312" w:hAnsi="楷体_GB2312" w:eastAsia="楷体_GB2312" w:cs="楷体_GB2312"/>
          <w:b w:val="0"/>
          <w:bCs w:val="0"/>
          <w:i w:val="0"/>
          <w:iCs w:val="0"/>
          <w:caps w:val="0"/>
          <w:color w:val="auto"/>
          <w:spacing w:val="0"/>
          <w:sz w:val="32"/>
          <w:szCs w:val="32"/>
          <w:highlight w:val="none"/>
          <w:u w:val="none"/>
          <w:lang w:eastAsia="zh-CN"/>
        </w:rPr>
        <w:t>（三）</w:t>
      </w:r>
      <w:r>
        <w:rPr>
          <w:rFonts w:hint="eastAsia" w:ascii="楷体_GB2312" w:hAnsi="楷体_GB2312" w:eastAsia="楷体_GB2312" w:cs="楷体_GB2312"/>
          <w:b w:val="0"/>
          <w:bCs w:val="0"/>
          <w:i w:val="0"/>
          <w:iCs w:val="0"/>
          <w:caps w:val="0"/>
          <w:color w:val="auto"/>
          <w:spacing w:val="0"/>
          <w:sz w:val="32"/>
          <w:szCs w:val="32"/>
          <w:highlight w:val="none"/>
          <w:u w:val="none"/>
          <w:lang w:val="en-US" w:eastAsia="zh-CN"/>
        </w:rPr>
        <w:t>强化科学管理。</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卫生健康行政部门、质控</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中心</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和医疗机构要密切关注医疗质量安全管理领域前沿进展</w:t>
      </w: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；增强信息化思维，加强信息化建设，逐步建立信息质控、数据质控的工作模式。医疗机构要探索将工作目标、关键环节、重要时间节点、标准流程等嵌入医院电子病历信息系统，提升工作效率和质控工作效果；</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吸纳国内外先进管理经验和方法，</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持续学习、持续实践</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，推广单病种管理、全面质量管理等医疗质量管理工具，提升质量安全管理科学化程度和管理效能。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default" w:ascii="楷体_GB2312" w:hAnsi="楷体_GB2312" w:eastAsia="楷体_GB2312" w:cs="楷体_GB2312"/>
          <w:b w:val="0"/>
          <w:bCs w:val="0"/>
          <w:i w:val="0"/>
          <w:iCs w:val="0"/>
          <w:caps w:val="0"/>
          <w:color w:val="auto"/>
          <w:spacing w:val="0"/>
          <w:sz w:val="32"/>
          <w:szCs w:val="32"/>
          <w:highlight w:val="none"/>
          <w:u w:val="none"/>
          <w:lang w:val="en-US" w:eastAsia="zh-CN"/>
        </w:rPr>
        <w:t>（</w:t>
      </w:r>
      <w:r>
        <w:rPr>
          <w:rFonts w:hint="default" w:ascii="楷体_GB2312" w:hAnsi="楷体_GB2312" w:eastAsia="楷体_GB2312" w:cs="楷体_GB2312"/>
          <w:b w:val="0"/>
          <w:bCs w:val="0"/>
          <w:i w:val="0"/>
          <w:iCs w:val="0"/>
          <w:caps w:val="0"/>
          <w:color w:val="auto"/>
          <w:spacing w:val="0"/>
          <w:sz w:val="32"/>
          <w:szCs w:val="32"/>
          <w:highlight w:val="none"/>
          <w:u w:val="none"/>
          <w:lang w:eastAsia="zh-CN"/>
        </w:rPr>
        <w:t>四</w:t>
      </w:r>
      <w:r>
        <w:rPr>
          <w:rFonts w:hint="default" w:ascii="楷体_GB2312" w:hAnsi="楷体_GB2312" w:eastAsia="楷体_GB2312" w:cs="楷体_GB2312"/>
          <w:b w:val="0"/>
          <w:bCs w:val="0"/>
          <w:i w:val="0"/>
          <w:iCs w:val="0"/>
          <w:caps w:val="0"/>
          <w:color w:val="auto"/>
          <w:spacing w:val="0"/>
          <w:sz w:val="32"/>
          <w:szCs w:val="32"/>
          <w:highlight w:val="none"/>
          <w:u w:val="none"/>
          <w:lang w:val="en-US" w:eastAsia="zh-CN"/>
        </w:rPr>
        <w:t>）加强宣传引导。</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卫生健康行政部门</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、医疗机构、</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质控</w:t>
      </w:r>
      <w:r>
        <w:rPr>
          <w:rFonts w:hint="default" w:ascii="仿宋_GB2312" w:hAnsi="仿宋_GB2312" w:eastAsia="仿宋_GB2312" w:cs="仿宋_GB2312"/>
          <w:b w:val="0"/>
          <w:bCs w:val="0"/>
          <w:i w:val="0"/>
          <w:iCs w:val="0"/>
          <w:caps w:val="0"/>
          <w:color w:val="auto"/>
          <w:spacing w:val="0"/>
          <w:sz w:val="32"/>
          <w:szCs w:val="32"/>
          <w:highlight w:val="none"/>
          <w:u w:val="none"/>
          <w:lang w:eastAsia="zh-CN"/>
        </w:rPr>
        <w:t>中心</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要注重从多维度、多层面挖掘行动落实先进典型，充分利用行业主流媒体和短视频、公众号等网络新媒体多种形式进行宣传推广，营造良好氛围。卫生健康行政部门要遴选具有代表意义的典型案例予以通报表扬，充分调动医疗机构参与行动的积极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default" w:ascii="楷体_GB2312" w:hAnsi="楷体_GB2312" w:eastAsia="楷体_GB2312" w:cs="楷体_GB2312"/>
          <w:b w:val="0"/>
          <w:bCs w:val="0"/>
          <w:i w:val="0"/>
          <w:iCs w:val="0"/>
          <w:caps w:val="0"/>
          <w:color w:val="auto"/>
          <w:spacing w:val="0"/>
          <w:sz w:val="32"/>
          <w:szCs w:val="32"/>
          <w:highlight w:val="none"/>
          <w:u w:val="none"/>
          <w:lang w:val="en-US" w:eastAsia="zh-CN"/>
        </w:rPr>
        <w:t>（</w:t>
      </w:r>
      <w:r>
        <w:rPr>
          <w:rFonts w:hint="default" w:ascii="楷体_GB2312" w:hAnsi="楷体_GB2312" w:eastAsia="楷体_GB2312" w:cs="楷体_GB2312"/>
          <w:b w:val="0"/>
          <w:bCs w:val="0"/>
          <w:i w:val="0"/>
          <w:iCs w:val="0"/>
          <w:caps w:val="0"/>
          <w:color w:val="auto"/>
          <w:spacing w:val="0"/>
          <w:sz w:val="32"/>
          <w:szCs w:val="32"/>
          <w:highlight w:val="none"/>
          <w:u w:val="none"/>
          <w:lang w:eastAsia="zh-CN"/>
        </w:rPr>
        <w:t>五</w:t>
      </w:r>
      <w:r>
        <w:rPr>
          <w:rFonts w:hint="default" w:ascii="楷体_GB2312" w:hAnsi="楷体_GB2312" w:eastAsia="楷体_GB2312" w:cs="楷体_GB2312"/>
          <w:b w:val="0"/>
          <w:bCs w:val="0"/>
          <w:i w:val="0"/>
          <w:iCs w:val="0"/>
          <w:caps w:val="0"/>
          <w:color w:val="auto"/>
          <w:spacing w:val="0"/>
          <w:sz w:val="32"/>
          <w:szCs w:val="32"/>
          <w:highlight w:val="none"/>
          <w:u w:val="none"/>
          <w:lang w:val="en-US" w:eastAsia="zh-CN"/>
        </w:rPr>
        <w:t>）建立长效机制。</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卫生健康行政部门要</w:t>
      </w:r>
      <w:r>
        <w:rPr>
          <w:rFonts w:ascii="仿宋_GB2312" w:hAnsi="仿宋_GB2312" w:eastAsia="仿宋_GB2312" w:cs="仿宋_GB2312"/>
          <w:b w:val="0"/>
          <w:bCs w:val="0"/>
          <w:color w:val="auto"/>
          <w:sz w:val="32"/>
          <w:szCs w:val="32"/>
          <w:highlight w:val="none"/>
          <w:u w:val="none"/>
        </w:rPr>
        <w:t>把问题作为研究制定政策的起点，把工作的着力点放在解决最突出的矛盾和问题上，</w:t>
      </w:r>
      <w:r>
        <w:rPr>
          <w:rFonts w:hint="default" w:ascii="仿宋_GB2312" w:hAnsi="仿宋_GB2312" w:eastAsia="仿宋_GB2312" w:cs="仿宋_GB2312"/>
          <w:b w:val="0"/>
          <w:bCs w:val="0"/>
          <w:i w:val="0"/>
          <w:iCs w:val="0"/>
          <w:caps w:val="0"/>
          <w:color w:val="auto"/>
          <w:spacing w:val="0"/>
          <w:sz w:val="32"/>
          <w:szCs w:val="32"/>
          <w:highlight w:val="none"/>
          <w:u w:val="none"/>
          <w:lang w:val="en-US" w:eastAsia="zh-CN"/>
        </w:rPr>
        <w:t>在行动期间不断总结经验，进一步巩固全行业质量安全意识和“以病人为中心”服务理念，增强各方参与医疗质量安全管理的意愿，进一步提升行业社会认可度，完善政府监管、机构自治、行业自律、社会监督的医疗质量安全管理多元良性共治长效机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720" w:firstLineChars="200"/>
        <w:jc w:val="both"/>
        <w:rPr>
          <w:rFonts w:ascii="Times New Roman" w:hAnsi="Times New Roman" w:eastAsia="仿宋_GB2312"/>
          <w:b w:val="0"/>
          <w:bCs w:val="0"/>
          <w:color w:val="auto"/>
          <w:sz w:val="36"/>
          <w:szCs w:val="36"/>
          <w:highlight w:val="none"/>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附件：河南省全面提升医疗质量行动实施方案指标任务</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1600" w:firstLineChars="500"/>
        <w:jc w:val="both"/>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t>分配表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0" w:firstLineChars="0"/>
        <w:jc w:val="both"/>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仿宋_GB2312" w:hAnsi="仿宋_GB2312" w:eastAsia="仿宋_GB2312" w:cs="仿宋_GB2312"/>
          <w:b w:val="0"/>
          <w:bCs w:val="0"/>
          <w:i w:val="0"/>
          <w:iCs w:val="0"/>
          <w:caps w:val="0"/>
          <w:color w:val="auto"/>
          <w:spacing w:val="0"/>
          <w:sz w:val="32"/>
          <w:szCs w:val="32"/>
          <w:highlight w:val="none"/>
          <w:u w:val="none"/>
          <w:lang w:val="en-US" w:eastAsia="zh-CN"/>
        </w:rPr>
        <w:sectPr>
          <w:pgSz w:w="11906" w:h="16838"/>
          <w:pgMar w:top="1440" w:right="1406" w:bottom="1440" w:left="1406" w:header="851" w:footer="992" w:gutter="0"/>
          <w:pgBorders>
            <w:top w:val="none" w:sz="0" w:space="0"/>
            <w:left w:val="none" w:sz="0" w:space="0"/>
            <w:bottom w:val="none" w:sz="0" w:space="0"/>
            <w:right w:val="none" w:sz="0" w:space="0"/>
          </w:pgBorders>
          <w:cols w:space="425" w:num="1"/>
          <w:docGrid w:type="lines" w:linePitch="312" w:charSpace="0"/>
        </w:sectPr>
      </w:pPr>
    </w:p>
    <w:p>
      <w:pPr>
        <w:pStyle w:val="6"/>
        <w:widowControl/>
        <w:spacing w:before="0" w:beforeAutospacing="0" w:after="0" w:afterAutospacing="0" w:line="15" w:lineRule="atLeast"/>
        <w:jc w:val="both"/>
        <w:rPr>
          <w:rFonts w:hint="eastAsia" w:ascii="黑体" w:hAnsi="黑体" w:eastAsia="黑体" w:cs="黑体"/>
          <w:sz w:val="32"/>
          <w:szCs w:val="32"/>
        </w:rPr>
      </w:pPr>
      <w:r>
        <w:rPr>
          <w:rFonts w:hint="eastAsia" w:ascii="黑体" w:hAnsi="黑体" w:eastAsia="黑体" w:cs="黑体"/>
          <w:sz w:val="32"/>
          <w:szCs w:val="32"/>
        </w:rPr>
        <w:t>附  件</w:t>
      </w:r>
    </w:p>
    <w:p>
      <w:pPr>
        <w:pStyle w:val="6"/>
        <w:widowControl/>
        <w:spacing w:before="0" w:beforeAutospacing="0" w:after="0" w:afterAutospacing="0" w:line="15" w:lineRule="atLeast"/>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河南省全面提升医疗质量行动实施方案指标任务分配表</w:t>
      </w:r>
    </w:p>
    <w:tbl>
      <w:tblPr>
        <w:tblStyle w:val="8"/>
        <w:tblpPr w:leftFromText="180" w:rightFromText="180" w:vertAnchor="text" w:horzAnchor="page" w:tblpX="1249" w:tblpY="159"/>
        <w:tblOverlap w:val="never"/>
        <w:tblW w:w="14825" w:type="dxa"/>
        <w:tblInd w:w="0" w:type="dxa"/>
        <w:tblLayout w:type="autofit"/>
        <w:tblCellMar>
          <w:top w:w="0" w:type="dxa"/>
          <w:left w:w="108" w:type="dxa"/>
          <w:bottom w:w="0" w:type="dxa"/>
          <w:right w:w="108" w:type="dxa"/>
        </w:tblCellMar>
      </w:tblPr>
      <w:tblGrid>
        <w:gridCol w:w="995"/>
        <w:gridCol w:w="2490"/>
        <w:gridCol w:w="5039"/>
        <w:gridCol w:w="1529"/>
        <w:gridCol w:w="4772"/>
      </w:tblGrid>
      <w:tr>
        <w:tblPrEx>
          <w:tblCellMar>
            <w:top w:w="0" w:type="dxa"/>
            <w:left w:w="108" w:type="dxa"/>
            <w:bottom w:w="0" w:type="dxa"/>
            <w:right w:w="108" w:type="dxa"/>
          </w:tblCellMar>
        </w:tblPrEx>
        <w:trPr>
          <w:trHeight w:val="496" w:hRule="atLeast"/>
        </w:trPr>
        <w:tc>
          <w:tcPr>
            <w:tcW w:w="995"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黑体" w:hAnsi="黑体" w:eastAsia="黑体" w:cs="黑体"/>
                <w:color w:val="000000"/>
                <w:sz w:val="30"/>
                <w:szCs w:val="30"/>
              </w:rPr>
            </w:pPr>
            <w:r>
              <w:rPr>
                <w:rStyle w:val="11"/>
                <w:rFonts w:hint="eastAsia" w:ascii="黑体" w:hAnsi="黑体" w:eastAsia="黑体" w:cs="黑体"/>
                <w:b w:val="0"/>
                <w:bCs w:val="0"/>
                <w:color w:val="auto"/>
                <w:sz w:val="30"/>
                <w:szCs w:val="30"/>
                <w:lang w:bidi="ar"/>
              </w:rPr>
              <w:t>序号</w:t>
            </w:r>
          </w:p>
        </w:tc>
        <w:tc>
          <w:tcPr>
            <w:tcW w:w="2490" w:type="dxa"/>
            <w:tcBorders>
              <w:top w:val="single" w:color="000000" w:sz="8" w:space="0"/>
              <w:left w:val="nil"/>
              <w:bottom w:val="single" w:color="000000" w:sz="8" w:space="0"/>
              <w:right w:val="single" w:color="000000" w:sz="8" w:space="0"/>
            </w:tcBorders>
            <w:noWrap w:val="0"/>
            <w:vAlign w:val="center"/>
          </w:tcPr>
          <w:p>
            <w:pPr>
              <w:widowControl/>
              <w:jc w:val="center"/>
              <w:textAlignment w:val="center"/>
              <w:rPr>
                <w:rFonts w:hint="eastAsia" w:ascii="黑体" w:hAnsi="黑体" w:eastAsia="黑体" w:cs="黑体"/>
                <w:color w:val="000000"/>
                <w:sz w:val="30"/>
                <w:szCs w:val="30"/>
              </w:rPr>
            </w:pPr>
            <w:r>
              <w:rPr>
                <w:rStyle w:val="11"/>
                <w:rFonts w:hint="eastAsia" w:ascii="黑体" w:hAnsi="黑体" w:eastAsia="黑体" w:cs="黑体"/>
                <w:b w:val="0"/>
                <w:bCs w:val="0"/>
                <w:color w:val="auto"/>
                <w:sz w:val="30"/>
                <w:szCs w:val="30"/>
                <w:lang w:bidi="ar"/>
              </w:rPr>
              <w:t>评估维度</w:t>
            </w:r>
          </w:p>
        </w:tc>
        <w:tc>
          <w:tcPr>
            <w:tcW w:w="5039" w:type="dxa"/>
            <w:tcBorders>
              <w:top w:val="single" w:color="000000" w:sz="8" w:space="0"/>
              <w:left w:val="nil"/>
              <w:bottom w:val="single" w:color="000000" w:sz="8" w:space="0"/>
              <w:right w:val="single" w:color="000000" w:sz="8" w:space="0"/>
            </w:tcBorders>
            <w:noWrap w:val="0"/>
            <w:vAlign w:val="center"/>
          </w:tcPr>
          <w:p>
            <w:pPr>
              <w:widowControl/>
              <w:jc w:val="center"/>
              <w:textAlignment w:val="center"/>
              <w:rPr>
                <w:rFonts w:hint="eastAsia" w:ascii="黑体" w:hAnsi="黑体" w:eastAsia="黑体" w:cs="黑体"/>
                <w:color w:val="000000"/>
                <w:sz w:val="30"/>
                <w:szCs w:val="30"/>
              </w:rPr>
            </w:pPr>
            <w:r>
              <w:rPr>
                <w:rStyle w:val="11"/>
                <w:rFonts w:hint="eastAsia" w:ascii="黑体" w:hAnsi="黑体" w:eastAsia="黑体" w:cs="黑体"/>
                <w:b w:val="0"/>
                <w:bCs w:val="0"/>
                <w:color w:val="auto"/>
                <w:sz w:val="30"/>
                <w:szCs w:val="30"/>
                <w:lang w:bidi="ar"/>
              </w:rPr>
              <w:t>评估指标</w:t>
            </w:r>
          </w:p>
        </w:tc>
        <w:tc>
          <w:tcPr>
            <w:tcW w:w="1529" w:type="dxa"/>
            <w:tcBorders>
              <w:top w:val="single" w:color="000000" w:sz="8" w:space="0"/>
              <w:left w:val="nil"/>
              <w:bottom w:val="single" w:color="000000" w:sz="8" w:space="0"/>
              <w:right w:val="single" w:color="000000" w:sz="8" w:space="0"/>
            </w:tcBorders>
            <w:noWrap w:val="0"/>
            <w:vAlign w:val="center"/>
          </w:tcPr>
          <w:p>
            <w:pPr>
              <w:widowControl/>
              <w:jc w:val="center"/>
              <w:textAlignment w:val="center"/>
              <w:rPr>
                <w:rFonts w:hint="eastAsia" w:ascii="黑体" w:hAnsi="黑体" w:eastAsia="黑体" w:cs="黑体"/>
                <w:color w:val="000000"/>
                <w:sz w:val="30"/>
                <w:szCs w:val="30"/>
              </w:rPr>
            </w:pPr>
            <w:r>
              <w:rPr>
                <w:rStyle w:val="11"/>
                <w:rFonts w:hint="eastAsia" w:ascii="黑体" w:hAnsi="黑体" w:eastAsia="黑体" w:cs="黑体"/>
                <w:b w:val="0"/>
                <w:bCs w:val="0"/>
                <w:color w:val="auto"/>
                <w:sz w:val="30"/>
                <w:szCs w:val="30"/>
                <w:lang w:bidi="ar"/>
              </w:rPr>
              <w:t>指标导向</w:t>
            </w:r>
          </w:p>
        </w:tc>
        <w:tc>
          <w:tcPr>
            <w:tcW w:w="4772" w:type="dxa"/>
            <w:tcBorders>
              <w:top w:val="single" w:color="000000" w:sz="8" w:space="0"/>
              <w:left w:val="nil"/>
              <w:bottom w:val="single" w:color="auto" w:sz="4" w:space="0"/>
              <w:right w:val="single" w:color="000000" w:sz="8" w:space="0"/>
            </w:tcBorders>
            <w:noWrap w:val="0"/>
            <w:vAlign w:val="center"/>
          </w:tcPr>
          <w:p>
            <w:pPr>
              <w:widowControl/>
              <w:jc w:val="center"/>
              <w:textAlignment w:val="center"/>
              <w:rPr>
                <w:rFonts w:hint="default" w:ascii="黑体" w:hAnsi="黑体" w:eastAsia="黑体" w:cs="黑体"/>
                <w:color w:val="000000"/>
                <w:sz w:val="30"/>
                <w:szCs w:val="30"/>
                <w:lang w:val="en-US" w:eastAsia="zh-CN"/>
              </w:rPr>
            </w:pPr>
            <w:r>
              <w:rPr>
                <w:rFonts w:hint="eastAsia" w:ascii="黑体" w:hAnsi="黑体" w:eastAsia="黑体" w:cs="黑体"/>
                <w:color w:val="000000"/>
                <w:sz w:val="30"/>
                <w:szCs w:val="30"/>
                <w:lang w:eastAsia="zh-CN"/>
              </w:rPr>
              <w:t>责任单位</w:t>
            </w:r>
            <w:r>
              <w:rPr>
                <w:rFonts w:hint="eastAsia" w:ascii="黑体" w:hAnsi="黑体" w:eastAsia="黑体" w:cs="黑体"/>
                <w:color w:val="000000"/>
                <w:sz w:val="30"/>
                <w:szCs w:val="30"/>
                <w:lang w:val="en-US" w:eastAsia="zh-CN"/>
              </w:rPr>
              <w:t>/指导组织</w:t>
            </w:r>
          </w:p>
        </w:tc>
      </w:tr>
      <w:tr>
        <w:tblPrEx>
          <w:tblCellMar>
            <w:top w:w="0" w:type="dxa"/>
            <w:left w:w="108" w:type="dxa"/>
            <w:bottom w:w="0" w:type="dxa"/>
            <w:right w:w="108" w:type="dxa"/>
          </w:tblCellMar>
        </w:tblPrEx>
        <w:trPr>
          <w:trHeight w:val="1020" w:hRule="atLeast"/>
        </w:trPr>
        <w:tc>
          <w:tcPr>
            <w:tcW w:w="995"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30"/>
                <w:szCs w:val="30"/>
              </w:rPr>
            </w:pPr>
            <w:r>
              <w:rPr>
                <w:rFonts w:hint="eastAsia" w:ascii="仿宋" w:hAnsi="仿宋" w:eastAsia="仿宋" w:cs="仿宋"/>
                <w:color w:val="000000"/>
                <w:kern w:val="0"/>
                <w:sz w:val="30"/>
                <w:szCs w:val="30"/>
                <w:lang w:bidi="ar"/>
              </w:rPr>
              <w:t>1</w:t>
            </w:r>
          </w:p>
        </w:tc>
        <w:tc>
          <w:tcPr>
            <w:tcW w:w="2490" w:type="dxa"/>
            <w:vMerge w:val="restart"/>
            <w:tcBorders>
              <w:top w:val="nil"/>
              <w:left w:val="nil"/>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30"/>
                <w:szCs w:val="30"/>
              </w:rPr>
            </w:pPr>
            <w:r>
              <w:rPr>
                <w:rStyle w:val="12"/>
                <w:rFonts w:hint="default"/>
                <w:color w:val="auto"/>
                <w:sz w:val="30"/>
                <w:szCs w:val="30"/>
                <w:lang w:bidi="ar"/>
              </w:rPr>
              <w:t>1.工作落实</w:t>
            </w:r>
          </w:p>
        </w:tc>
        <w:tc>
          <w:tcPr>
            <w:tcW w:w="5039" w:type="dxa"/>
            <w:tcBorders>
              <w:top w:val="nil"/>
              <w:left w:val="nil"/>
              <w:bottom w:val="single" w:color="000000" w:sz="8" w:space="0"/>
              <w:right w:val="single" w:color="000000" w:sz="8" w:space="0"/>
            </w:tcBorders>
            <w:noWrap w:val="0"/>
            <w:vAlign w:val="center"/>
          </w:tcPr>
          <w:p>
            <w:pPr>
              <w:widowControl/>
              <w:textAlignment w:val="center"/>
              <w:rPr>
                <w:rStyle w:val="12"/>
                <w:rFonts w:hint="eastAsia" w:eastAsia="仿宋"/>
                <w:color w:val="auto"/>
                <w:sz w:val="30"/>
                <w:szCs w:val="30"/>
                <w:lang w:eastAsia="zh-CN" w:bidi="ar"/>
              </w:rPr>
            </w:pPr>
            <w:r>
              <w:rPr>
                <w:rStyle w:val="12"/>
                <w:rFonts w:hint="default"/>
                <w:color w:val="auto"/>
                <w:sz w:val="30"/>
                <w:szCs w:val="30"/>
                <w:lang w:bidi="ar"/>
              </w:rPr>
              <w:t>1.1</w:t>
            </w:r>
            <w:r>
              <w:rPr>
                <w:rStyle w:val="12"/>
                <w:rFonts w:hint="eastAsia" w:eastAsia="仿宋"/>
                <w:color w:val="auto"/>
                <w:sz w:val="30"/>
                <w:szCs w:val="30"/>
                <w:lang w:val="en-US" w:eastAsia="zh-CN" w:bidi="ar"/>
              </w:rPr>
              <w:t xml:space="preserve"> </w:t>
            </w:r>
            <w:r>
              <w:rPr>
                <w:rStyle w:val="12"/>
                <w:rFonts w:hint="eastAsia" w:eastAsia="仿宋"/>
                <w:color w:val="auto"/>
                <w:sz w:val="30"/>
                <w:szCs w:val="30"/>
                <w:lang w:eastAsia="zh-CN" w:bidi="ar"/>
              </w:rPr>
              <w:t>全面提升医疗质量行动安排部署</w:t>
            </w:r>
          </w:p>
          <w:p>
            <w:pPr>
              <w:widowControl/>
              <w:ind w:firstLine="600" w:firstLineChars="200"/>
              <w:textAlignment w:val="center"/>
              <w:rPr>
                <w:rFonts w:hint="eastAsia" w:ascii="仿宋" w:hAnsi="仿宋" w:eastAsia="仿宋" w:cs="仿宋"/>
                <w:color w:val="000000"/>
                <w:sz w:val="30"/>
                <w:szCs w:val="30"/>
                <w:lang w:eastAsia="zh-CN"/>
              </w:rPr>
            </w:pPr>
            <w:r>
              <w:rPr>
                <w:rStyle w:val="12"/>
                <w:rFonts w:hint="eastAsia" w:eastAsia="仿宋"/>
                <w:color w:val="auto"/>
                <w:sz w:val="30"/>
                <w:szCs w:val="30"/>
                <w:lang w:eastAsia="zh-CN" w:bidi="ar"/>
              </w:rPr>
              <w:t>上报情况</w:t>
            </w:r>
          </w:p>
        </w:tc>
        <w:tc>
          <w:tcPr>
            <w:tcW w:w="1529" w:type="dxa"/>
            <w:tcBorders>
              <w:top w:val="nil"/>
              <w:left w:val="nil"/>
              <w:bottom w:val="single" w:color="000000" w:sz="8" w:space="0"/>
              <w:right w:val="single" w:color="auto" w:sz="4" w:space="0"/>
            </w:tcBorders>
            <w:noWrap w:val="0"/>
            <w:vAlign w:val="center"/>
          </w:tcPr>
          <w:p>
            <w:pPr>
              <w:widowControl/>
              <w:jc w:val="center"/>
              <w:textAlignment w:val="center"/>
              <w:rPr>
                <w:rFonts w:hint="eastAsia" w:ascii="仿宋" w:hAnsi="仿宋" w:eastAsia="仿宋" w:cs="仿宋"/>
                <w:color w:val="000000"/>
                <w:sz w:val="30"/>
                <w:szCs w:val="30"/>
              </w:rPr>
            </w:pPr>
            <w:r>
              <w:rPr>
                <w:rStyle w:val="12"/>
                <w:rFonts w:hint="default"/>
                <w:color w:val="auto"/>
                <w:sz w:val="30"/>
                <w:szCs w:val="30"/>
                <w:lang w:bidi="ar"/>
              </w:rPr>
              <w:t>/</w:t>
            </w:r>
          </w:p>
        </w:tc>
        <w:tc>
          <w:tcPr>
            <w:tcW w:w="477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仿宋" w:hAnsi="仿宋" w:eastAsia="仿宋" w:cs="仿宋"/>
                <w:color w:val="000000"/>
                <w:kern w:val="0"/>
                <w:sz w:val="30"/>
                <w:szCs w:val="30"/>
                <w:lang w:eastAsia="zh-CN" w:bidi="ar"/>
              </w:rPr>
            </w:pPr>
            <w:r>
              <w:rPr>
                <w:rFonts w:hint="eastAsia" w:ascii="仿宋" w:hAnsi="仿宋" w:eastAsia="仿宋" w:cs="仿宋"/>
                <w:color w:val="000000"/>
                <w:kern w:val="0"/>
                <w:sz w:val="30"/>
                <w:szCs w:val="30"/>
                <w:lang w:bidi="ar"/>
              </w:rPr>
              <w:t>卫生健康行政部门</w:t>
            </w:r>
          </w:p>
          <w:p>
            <w:pPr>
              <w:widowControl/>
              <w:textAlignment w:val="center"/>
              <w:rPr>
                <w:rFonts w:hint="eastAsia" w:ascii="仿宋" w:hAnsi="仿宋" w:eastAsia="仿宋" w:cs="仿宋"/>
                <w:color w:val="000000"/>
                <w:sz w:val="30"/>
                <w:szCs w:val="30"/>
                <w:lang w:eastAsia="zh-CN"/>
              </w:rPr>
            </w:pPr>
            <w:r>
              <w:rPr>
                <w:rFonts w:hint="eastAsia" w:ascii="仿宋" w:hAnsi="仿宋" w:eastAsia="仿宋" w:cs="仿宋"/>
                <w:color w:val="000000"/>
                <w:kern w:val="0"/>
                <w:sz w:val="30"/>
                <w:szCs w:val="30"/>
                <w:lang w:eastAsia="zh-CN" w:bidi="ar"/>
              </w:rPr>
              <w:t>医疗机构</w:t>
            </w:r>
          </w:p>
        </w:tc>
      </w:tr>
      <w:tr>
        <w:tblPrEx>
          <w:tblCellMar>
            <w:top w:w="0" w:type="dxa"/>
            <w:left w:w="108" w:type="dxa"/>
            <w:bottom w:w="0" w:type="dxa"/>
            <w:right w:w="108" w:type="dxa"/>
          </w:tblCellMar>
        </w:tblPrEx>
        <w:trPr>
          <w:trHeight w:val="600" w:hRule="atLeast"/>
        </w:trPr>
        <w:tc>
          <w:tcPr>
            <w:tcW w:w="995"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30"/>
                <w:szCs w:val="30"/>
              </w:rPr>
            </w:pPr>
            <w:r>
              <w:rPr>
                <w:rFonts w:hint="eastAsia" w:ascii="仿宋" w:hAnsi="仿宋" w:eastAsia="仿宋" w:cs="仿宋"/>
                <w:color w:val="000000"/>
                <w:kern w:val="0"/>
                <w:sz w:val="30"/>
                <w:szCs w:val="30"/>
                <w:lang w:bidi="ar"/>
              </w:rPr>
              <w:t>2</w:t>
            </w:r>
          </w:p>
        </w:tc>
        <w:tc>
          <w:tcPr>
            <w:tcW w:w="2490" w:type="dxa"/>
            <w:vMerge w:val="continue"/>
            <w:tcBorders>
              <w:top w:val="nil"/>
              <w:left w:val="nil"/>
              <w:bottom w:val="single" w:color="000000" w:sz="8" w:space="0"/>
              <w:right w:val="single" w:color="000000" w:sz="8" w:space="0"/>
            </w:tcBorders>
            <w:noWrap w:val="0"/>
            <w:vAlign w:val="center"/>
          </w:tcPr>
          <w:p>
            <w:pPr>
              <w:jc w:val="center"/>
              <w:rPr>
                <w:rFonts w:hint="eastAsia" w:ascii="仿宋" w:hAnsi="仿宋" w:eastAsia="仿宋" w:cs="仿宋"/>
                <w:color w:val="000000"/>
                <w:sz w:val="30"/>
                <w:szCs w:val="30"/>
              </w:rPr>
            </w:pPr>
          </w:p>
        </w:tc>
        <w:tc>
          <w:tcPr>
            <w:tcW w:w="5039" w:type="dxa"/>
            <w:tcBorders>
              <w:top w:val="nil"/>
              <w:left w:val="nil"/>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rPr>
            </w:pPr>
            <w:r>
              <w:rPr>
                <w:rStyle w:val="12"/>
                <w:rFonts w:hint="default"/>
                <w:color w:val="auto"/>
                <w:sz w:val="30"/>
                <w:szCs w:val="30"/>
                <w:lang w:bidi="ar"/>
              </w:rPr>
              <w:t>1.2</w:t>
            </w:r>
            <w:r>
              <w:rPr>
                <w:rStyle w:val="12"/>
                <w:rFonts w:hint="eastAsia" w:eastAsia="仿宋"/>
                <w:color w:val="auto"/>
                <w:sz w:val="30"/>
                <w:szCs w:val="30"/>
                <w:lang w:val="en-US" w:eastAsia="zh-CN" w:bidi="ar"/>
              </w:rPr>
              <w:t xml:space="preserve"> </w:t>
            </w:r>
            <w:r>
              <w:rPr>
                <w:rStyle w:val="12"/>
                <w:rFonts w:hint="default"/>
                <w:color w:val="auto"/>
                <w:sz w:val="30"/>
                <w:szCs w:val="30"/>
                <w:lang w:bidi="ar"/>
              </w:rPr>
              <w:t>年度工作总结情况</w:t>
            </w:r>
          </w:p>
        </w:tc>
        <w:tc>
          <w:tcPr>
            <w:tcW w:w="1529" w:type="dxa"/>
            <w:tcBorders>
              <w:top w:val="nil"/>
              <w:left w:val="nil"/>
              <w:bottom w:val="single" w:color="000000" w:sz="8" w:space="0"/>
              <w:right w:val="single" w:color="auto" w:sz="4" w:space="0"/>
            </w:tcBorders>
            <w:noWrap w:val="0"/>
            <w:vAlign w:val="center"/>
          </w:tcPr>
          <w:p>
            <w:pPr>
              <w:widowControl/>
              <w:jc w:val="center"/>
              <w:textAlignment w:val="center"/>
              <w:rPr>
                <w:rFonts w:hint="eastAsia" w:ascii="仿宋" w:hAnsi="仿宋" w:eastAsia="仿宋" w:cs="仿宋"/>
                <w:color w:val="000000"/>
                <w:sz w:val="30"/>
                <w:szCs w:val="30"/>
              </w:rPr>
            </w:pPr>
            <w:r>
              <w:rPr>
                <w:rStyle w:val="12"/>
                <w:rFonts w:hint="default"/>
                <w:color w:val="auto"/>
                <w:sz w:val="30"/>
                <w:szCs w:val="30"/>
                <w:lang w:bidi="ar"/>
              </w:rPr>
              <w:t>/</w:t>
            </w:r>
          </w:p>
        </w:tc>
        <w:tc>
          <w:tcPr>
            <w:tcW w:w="477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000000"/>
                <w:sz w:val="30"/>
                <w:szCs w:val="30"/>
              </w:rPr>
            </w:pPr>
          </w:p>
        </w:tc>
      </w:tr>
      <w:tr>
        <w:tblPrEx>
          <w:tblCellMar>
            <w:top w:w="0" w:type="dxa"/>
            <w:left w:w="108" w:type="dxa"/>
            <w:bottom w:w="0" w:type="dxa"/>
            <w:right w:w="108" w:type="dxa"/>
          </w:tblCellMar>
        </w:tblPrEx>
        <w:trPr>
          <w:trHeight w:val="600" w:hRule="atLeast"/>
        </w:trPr>
        <w:tc>
          <w:tcPr>
            <w:tcW w:w="995"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30"/>
                <w:szCs w:val="30"/>
              </w:rPr>
            </w:pPr>
            <w:r>
              <w:rPr>
                <w:rFonts w:hint="eastAsia" w:ascii="仿宋" w:hAnsi="仿宋" w:eastAsia="仿宋" w:cs="仿宋"/>
                <w:color w:val="000000"/>
                <w:kern w:val="0"/>
                <w:sz w:val="30"/>
                <w:szCs w:val="30"/>
                <w:lang w:bidi="ar"/>
              </w:rPr>
              <w:t>3</w:t>
            </w:r>
          </w:p>
        </w:tc>
        <w:tc>
          <w:tcPr>
            <w:tcW w:w="2490" w:type="dxa"/>
            <w:vMerge w:val="continue"/>
            <w:tcBorders>
              <w:top w:val="nil"/>
              <w:left w:val="nil"/>
              <w:bottom w:val="single" w:color="000000" w:sz="8" w:space="0"/>
              <w:right w:val="single" w:color="000000" w:sz="8" w:space="0"/>
            </w:tcBorders>
            <w:noWrap w:val="0"/>
            <w:vAlign w:val="center"/>
          </w:tcPr>
          <w:p>
            <w:pPr>
              <w:jc w:val="center"/>
              <w:rPr>
                <w:rFonts w:hint="eastAsia" w:ascii="仿宋" w:hAnsi="仿宋" w:eastAsia="仿宋" w:cs="仿宋"/>
                <w:color w:val="000000"/>
                <w:sz w:val="30"/>
                <w:szCs w:val="30"/>
              </w:rPr>
            </w:pPr>
          </w:p>
        </w:tc>
        <w:tc>
          <w:tcPr>
            <w:tcW w:w="5039" w:type="dxa"/>
            <w:tcBorders>
              <w:top w:val="nil"/>
              <w:left w:val="nil"/>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rPr>
            </w:pPr>
            <w:r>
              <w:rPr>
                <w:rStyle w:val="12"/>
                <w:rFonts w:hint="default"/>
                <w:color w:val="auto"/>
                <w:sz w:val="30"/>
                <w:szCs w:val="30"/>
                <w:lang w:bidi="ar"/>
              </w:rPr>
              <w:t>1.3</w:t>
            </w:r>
            <w:r>
              <w:rPr>
                <w:rStyle w:val="12"/>
                <w:rFonts w:hint="eastAsia" w:eastAsia="仿宋"/>
                <w:color w:val="auto"/>
                <w:sz w:val="30"/>
                <w:szCs w:val="30"/>
                <w:lang w:val="en-US" w:eastAsia="zh-CN" w:bidi="ar"/>
              </w:rPr>
              <w:t xml:space="preserve"> </w:t>
            </w:r>
            <w:r>
              <w:rPr>
                <w:rStyle w:val="12"/>
                <w:rFonts w:hint="default"/>
                <w:color w:val="auto"/>
                <w:sz w:val="30"/>
                <w:szCs w:val="30"/>
                <w:lang w:bidi="ar"/>
              </w:rPr>
              <w:t>年度质量安全信息公开情况</w:t>
            </w:r>
          </w:p>
        </w:tc>
        <w:tc>
          <w:tcPr>
            <w:tcW w:w="1529" w:type="dxa"/>
            <w:tcBorders>
              <w:top w:val="nil"/>
              <w:left w:val="nil"/>
              <w:bottom w:val="single" w:color="000000" w:sz="8" w:space="0"/>
              <w:right w:val="single" w:color="auto" w:sz="4" w:space="0"/>
            </w:tcBorders>
            <w:noWrap w:val="0"/>
            <w:vAlign w:val="center"/>
          </w:tcPr>
          <w:p>
            <w:pPr>
              <w:widowControl/>
              <w:jc w:val="center"/>
              <w:textAlignment w:val="center"/>
              <w:rPr>
                <w:rFonts w:hint="eastAsia" w:ascii="仿宋" w:hAnsi="仿宋" w:eastAsia="仿宋" w:cs="仿宋"/>
                <w:color w:val="000000"/>
                <w:sz w:val="30"/>
                <w:szCs w:val="30"/>
              </w:rPr>
            </w:pPr>
            <w:r>
              <w:rPr>
                <w:rStyle w:val="12"/>
                <w:rFonts w:hint="default"/>
                <w:color w:val="auto"/>
                <w:sz w:val="30"/>
                <w:szCs w:val="30"/>
                <w:lang w:bidi="ar"/>
              </w:rPr>
              <w:t>/</w:t>
            </w:r>
          </w:p>
        </w:tc>
        <w:tc>
          <w:tcPr>
            <w:tcW w:w="477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000000"/>
                <w:sz w:val="30"/>
                <w:szCs w:val="30"/>
              </w:rPr>
            </w:pPr>
          </w:p>
        </w:tc>
      </w:tr>
      <w:tr>
        <w:tblPrEx>
          <w:tblCellMar>
            <w:top w:w="0" w:type="dxa"/>
            <w:left w:w="108" w:type="dxa"/>
            <w:bottom w:w="0" w:type="dxa"/>
            <w:right w:w="108" w:type="dxa"/>
          </w:tblCellMar>
        </w:tblPrEx>
        <w:trPr>
          <w:trHeight w:val="1035" w:hRule="atLeast"/>
        </w:trPr>
        <w:tc>
          <w:tcPr>
            <w:tcW w:w="995"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30"/>
                <w:szCs w:val="30"/>
              </w:rPr>
            </w:pPr>
            <w:r>
              <w:rPr>
                <w:rFonts w:hint="eastAsia" w:ascii="仿宋" w:hAnsi="仿宋" w:eastAsia="仿宋" w:cs="仿宋"/>
                <w:color w:val="000000"/>
                <w:kern w:val="0"/>
                <w:sz w:val="30"/>
                <w:szCs w:val="30"/>
                <w:lang w:bidi="ar"/>
              </w:rPr>
              <w:t>4</w:t>
            </w:r>
          </w:p>
        </w:tc>
        <w:tc>
          <w:tcPr>
            <w:tcW w:w="2490" w:type="dxa"/>
            <w:vMerge w:val="continue"/>
            <w:tcBorders>
              <w:top w:val="nil"/>
              <w:left w:val="nil"/>
              <w:bottom w:val="single" w:color="000000" w:sz="8" w:space="0"/>
              <w:right w:val="single" w:color="000000" w:sz="8" w:space="0"/>
            </w:tcBorders>
            <w:noWrap w:val="0"/>
            <w:vAlign w:val="center"/>
          </w:tcPr>
          <w:p>
            <w:pPr>
              <w:jc w:val="center"/>
              <w:rPr>
                <w:rFonts w:hint="eastAsia" w:ascii="仿宋" w:hAnsi="仿宋" w:eastAsia="仿宋" w:cs="仿宋"/>
                <w:color w:val="000000"/>
                <w:sz w:val="30"/>
                <w:szCs w:val="30"/>
              </w:rPr>
            </w:pPr>
          </w:p>
        </w:tc>
        <w:tc>
          <w:tcPr>
            <w:tcW w:w="5039" w:type="dxa"/>
            <w:tcBorders>
              <w:top w:val="nil"/>
              <w:left w:val="nil"/>
              <w:bottom w:val="single" w:color="000000" w:sz="8" w:space="0"/>
              <w:right w:val="single" w:color="000000" w:sz="8" w:space="0"/>
            </w:tcBorders>
            <w:noWrap w:val="0"/>
            <w:vAlign w:val="center"/>
          </w:tcPr>
          <w:p>
            <w:pPr>
              <w:widowControl/>
              <w:textAlignment w:val="center"/>
              <w:rPr>
                <w:rStyle w:val="12"/>
                <w:rFonts w:hint="default"/>
                <w:color w:val="auto"/>
                <w:sz w:val="30"/>
                <w:szCs w:val="30"/>
                <w:lang w:bidi="ar"/>
              </w:rPr>
            </w:pPr>
            <w:r>
              <w:rPr>
                <w:rStyle w:val="12"/>
                <w:rFonts w:hint="default"/>
                <w:color w:val="auto"/>
                <w:sz w:val="30"/>
                <w:szCs w:val="30"/>
                <w:lang w:bidi="ar"/>
              </w:rPr>
              <w:t>1.4</w:t>
            </w:r>
            <w:r>
              <w:rPr>
                <w:rStyle w:val="12"/>
                <w:rFonts w:hint="eastAsia" w:eastAsia="仿宋"/>
                <w:color w:val="auto"/>
                <w:sz w:val="30"/>
                <w:szCs w:val="30"/>
                <w:lang w:val="en-US" w:eastAsia="zh-CN" w:bidi="ar"/>
              </w:rPr>
              <w:t xml:space="preserve"> </w:t>
            </w:r>
            <w:r>
              <w:rPr>
                <w:rStyle w:val="12"/>
                <w:rFonts w:hint="default"/>
                <w:color w:val="auto"/>
                <w:sz w:val="30"/>
                <w:szCs w:val="30"/>
                <w:lang w:bidi="ar"/>
              </w:rPr>
              <w:t>质控中心建设</w:t>
            </w:r>
            <w:r>
              <w:rPr>
                <w:rStyle w:val="12"/>
                <w:rFonts w:hint="eastAsia" w:eastAsia="仿宋"/>
                <w:color w:val="auto"/>
                <w:sz w:val="30"/>
                <w:szCs w:val="30"/>
                <w:lang w:eastAsia="zh-CN" w:bidi="ar"/>
              </w:rPr>
              <w:t>、管理</w:t>
            </w:r>
            <w:r>
              <w:rPr>
                <w:rStyle w:val="12"/>
                <w:rFonts w:hint="default"/>
                <w:color w:val="auto"/>
                <w:sz w:val="30"/>
                <w:szCs w:val="30"/>
                <w:lang w:bidi="ar"/>
              </w:rPr>
              <w:t>情况</w:t>
            </w:r>
          </w:p>
          <w:p>
            <w:pPr>
              <w:widowControl/>
              <w:ind w:firstLine="300" w:firstLineChars="100"/>
              <w:textAlignment w:val="center"/>
              <w:rPr>
                <w:rStyle w:val="12"/>
                <w:rFonts w:hint="eastAsia" w:eastAsia="仿宋"/>
                <w:color w:val="auto"/>
                <w:sz w:val="30"/>
                <w:szCs w:val="30"/>
                <w:lang w:eastAsia="zh-CN" w:bidi="ar"/>
              </w:rPr>
            </w:pPr>
            <w:r>
              <w:rPr>
                <w:rStyle w:val="12"/>
                <w:rFonts w:hint="eastAsia" w:eastAsia="仿宋"/>
                <w:color w:val="auto"/>
                <w:sz w:val="30"/>
                <w:szCs w:val="30"/>
                <w:lang w:eastAsia="zh-CN" w:bidi="ar"/>
              </w:rPr>
              <w:t>（</w:t>
            </w:r>
            <w:r>
              <w:rPr>
                <w:rStyle w:val="12"/>
                <w:rFonts w:hint="eastAsia" w:eastAsia="仿宋"/>
                <w:color w:val="auto"/>
                <w:sz w:val="30"/>
                <w:szCs w:val="30"/>
                <w:lang w:val="en-US" w:eastAsia="zh-CN" w:bidi="ar"/>
              </w:rPr>
              <w:t>按照</w:t>
            </w:r>
            <w:r>
              <w:rPr>
                <w:rStyle w:val="12"/>
                <w:rFonts w:hint="eastAsia" w:eastAsia="仿宋"/>
                <w:color w:val="auto"/>
                <w:sz w:val="30"/>
                <w:szCs w:val="30"/>
                <w:lang w:eastAsia="zh-CN" w:bidi="ar"/>
              </w:rPr>
              <w:t>省级规划对应设置率）</w:t>
            </w:r>
          </w:p>
        </w:tc>
        <w:tc>
          <w:tcPr>
            <w:tcW w:w="1529" w:type="dxa"/>
            <w:tcBorders>
              <w:top w:val="nil"/>
              <w:left w:val="nil"/>
              <w:bottom w:val="single" w:color="000000" w:sz="8" w:space="0"/>
              <w:right w:val="single" w:color="auto" w:sz="4" w:space="0"/>
            </w:tcBorders>
            <w:noWrap w:val="0"/>
            <w:vAlign w:val="center"/>
          </w:tcPr>
          <w:p>
            <w:pPr>
              <w:widowControl/>
              <w:jc w:val="center"/>
              <w:textAlignment w:val="center"/>
              <w:rPr>
                <w:rFonts w:hint="eastAsia" w:ascii="仿宋" w:hAnsi="仿宋" w:eastAsia="仿宋" w:cs="仿宋"/>
                <w:color w:val="000000"/>
                <w:sz w:val="30"/>
                <w:szCs w:val="30"/>
                <w:lang w:eastAsia="zh-CN"/>
              </w:rPr>
            </w:pPr>
            <w:r>
              <w:rPr>
                <w:rStyle w:val="12"/>
                <w:rFonts w:hint="eastAsia" w:eastAsia="仿宋"/>
                <w:color w:val="auto"/>
                <w:sz w:val="30"/>
                <w:szCs w:val="30"/>
                <w:lang w:eastAsia="zh-CN" w:bidi="ar"/>
              </w:rPr>
              <w:t>逐步升高</w:t>
            </w:r>
          </w:p>
        </w:tc>
        <w:tc>
          <w:tcPr>
            <w:tcW w:w="477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000000"/>
                <w:sz w:val="30"/>
                <w:szCs w:val="30"/>
              </w:rPr>
            </w:pPr>
          </w:p>
        </w:tc>
      </w:tr>
      <w:tr>
        <w:tblPrEx>
          <w:tblCellMar>
            <w:top w:w="0" w:type="dxa"/>
            <w:left w:w="108" w:type="dxa"/>
            <w:bottom w:w="0" w:type="dxa"/>
            <w:right w:w="108" w:type="dxa"/>
          </w:tblCellMar>
        </w:tblPrEx>
        <w:trPr>
          <w:trHeight w:val="600" w:hRule="atLeast"/>
        </w:trPr>
        <w:tc>
          <w:tcPr>
            <w:tcW w:w="995"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30"/>
                <w:szCs w:val="30"/>
              </w:rPr>
            </w:pPr>
            <w:r>
              <w:rPr>
                <w:rFonts w:hint="eastAsia" w:ascii="仿宋" w:hAnsi="仿宋" w:eastAsia="仿宋" w:cs="仿宋"/>
                <w:color w:val="000000"/>
                <w:kern w:val="0"/>
                <w:sz w:val="30"/>
                <w:szCs w:val="30"/>
                <w:lang w:bidi="ar"/>
              </w:rPr>
              <w:t>5</w:t>
            </w:r>
          </w:p>
        </w:tc>
        <w:tc>
          <w:tcPr>
            <w:tcW w:w="2490" w:type="dxa"/>
            <w:vMerge w:val="continue"/>
            <w:tcBorders>
              <w:top w:val="nil"/>
              <w:left w:val="nil"/>
              <w:bottom w:val="single" w:color="000000" w:sz="8" w:space="0"/>
              <w:right w:val="single" w:color="000000" w:sz="8" w:space="0"/>
            </w:tcBorders>
            <w:noWrap w:val="0"/>
            <w:vAlign w:val="center"/>
          </w:tcPr>
          <w:p>
            <w:pPr>
              <w:jc w:val="center"/>
              <w:rPr>
                <w:rFonts w:hint="eastAsia" w:ascii="仿宋" w:hAnsi="仿宋" w:eastAsia="仿宋" w:cs="仿宋"/>
                <w:color w:val="000000"/>
                <w:sz w:val="30"/>
                <w:szCs w:val="30"/>
              </w:rPr>
            </w:pPr>
          </w:p>
        </w:tc>
        <w:tc>
          <w:tcPr>
            <w:tcW w:w="5039" w:type="dxa"/>
            <w:tcBorders>
              <w:top w:val="nil"/>
              <w:left w:val="nil"/>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rPr>
            </w:pPr>
            <w:r>
              <w:rPr>
                <w:rStyle w:val="12"/>
                <w:rFonts w:hint="default"/>
                <w:color w:val="auto"/>
                <w:sz w:val="30"/>
                <w:szCs w:val="30"/>
                <w:lang w:bidi="ar"/>
              </w:rPr>
              <w:t>1.5</w:t>
            </w:r>
            <w:r>
              <w:rPr>
                <w:rStyle w:val="12"/>
                <w:rFonts w:hint="eastAsia" w:eastAsia="仿宋"/>
                <w:color w:val="auto"/>
                <w:sz w:val="30"/>
                <w:szCs w:val="30"/>
                <w:lang w:val="en-US" w:eastAsia="zh-CN" w:bidi="ar"/>
              </w:rPr>
              <w:t xml:space="preserve"> </w:t>
            </w:r>
            <w:r>
              <w:rPr>
                <w:rStyle w:val="12"/>
                <w:rFonts w:hint="default"/>
                <w:color w:val="auto"/>
                <w:sz w:val="30"/>
                <w:szCs w:val="30"/>
                <w:lang w:bidi="ar"/>
              </w:rPr>
              <w:t>质控中心工作考核情况</w:t>
            </w:r>
          </w:p>
        </w:tc>
        <w:tc>
          <w:tcPr>
            <w:tcW w:w="1529" w:type="dxa"/>
            <w:tcBorders>
              <w:top w:val="nil"/>
              <w:left w:val="nil"/>
              <w:bottom w:val="single" w:color="000000" w:sz="8" w:space="0"/>
              <w:right w:val="single" w:color="auto" w:sz="4" w:space="0"/>
            </w:tcBorders>
            <w:noWrap w:val="0"/>
            <w:vAlign w:val="center"/>
          </w:tcPr>
          <w:p>
            <w:pPr>
              <w:widowControl/>
              <w:jc w:val="center"/>
              <w:textAlignment w:val="center"/>
              <w:rPr>
                <w:rFonts w:hint="eastAsia" w:ascii="仿宋" w:hAnsi="仿宋" w:eastAsia="仿宋" w:cs="仿宋"/>
                <w:color w:val="000000"/>
                <w:sz w:val="30"/>
                <w:szCs w:val="30"/>
              </w:rPr>
            </w:pPr>
            <w:r>
              <w:rPr>
                <w:rStyle w:val="12"/>
                <w:rFonts w:hint="default"/>
                <w:color w:val="auto"/>
                <w:sz w:val="30"/>
                <w:szCs w:val="30"/>
                <w:lang w:bidi="ar"/>
              </w:rPr>
              <w:t>/</w:t>
            </w:r>
          </w:p>
        </w:tc>
        <w:tc>
          <w:tcPr>
            <w:tcW w:w="477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000000"/>
                <w:sz w:val="30"/>
                <w:szCs w:val="30"/>
              </w:rPr>
            </w:pPr>
          </w:p>
        </w:tc>
      </w:tr>
      <w:tr>
        <w:tblPrEx>
          <w:tblCellMar>
            <w:top w:w="0" w:type="dxa"/>
            <w:left w:w="108" w:type="dxa"/>
            <w:bottom w:w="0" w:type="dxa"/>
            <w:right w:w="108" w:type="dxa"/>
          </w:tblCellMar>
        </w:tblPrEx>
        <w:trPr>
          <w:trHeight w:val="600" w:hRule="atLeast"/>
        </w:trPr>
        <w:tc>
          <w:tcPr>
            <w:tcW w:w="995"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30"/>
                <w:szCs w:val="30"/>
              </w:rPr>
            </w:pPr>
            <w:r>
              <w:rPr>
                <w:rFonts w:hint="eastAsia" w:ascii="仿宋" w:hAnsi="仿宋" w:eastAsia="仿宋" w:cs="仿宋"/>
                <w:color w:val="000000"/>
                <w:kern w:val="0"/>
                <w:sz w:val="30"/>
                <w:szCs w:val="30"/>
                <w:lang w:bidi="ar"/>
              </w:rPr>
              <w:t>6</w:t>
            </w:r>
          </w:p>
        </w:tc>
        <w:tc>
          <w:tcPr>
            <w:tcW w:w="2490" w:type="dxa"/>
            <w:vMerge w:val="continue"/>
            <w:tcBorders>
              <w:top w:val="nil"/>
              <w:left w:val="nil"/>
              <w:bottom w:val="single" w:color="000000" w:sz="8" w:space="0"/>
              <w:right w:val="single" w:color="000000" w:sz="8" w:space="0"/>
            </w:tcBorders>
            <w:noWrap w:val="0"/>
            <w:vAlign w:val="center"/>
          </w:tcPr>
          <w:p>
            <w:pPr>
              <w:jc w:val="center"/>
              <w:rPr>
                <w:rFonts w:hint="eastAsia" w:ascii="仿宋" w:hAnsi="仿宋" w:eastAsia="仿宋" w:cs="仿宋"/>
                <w:color w:val="000000"/>
                <w:sz w:val="30"/>
                <w:szCs w:val="30"/>
              </w:rPr>
            </w:pPr>
          </w:p>
        </w:tc>
        <w:tc>
          <w:tcPr>
            <w:tcW w:w="5039" w:type="dxa"/>
            <w:tcBorders>
              <w:top w:val="nil"/>
              <w:left w:val="nil"/>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rPr>
            </w:pPr>
            <w:r>
              <w:rPr>
                <w:rStyle w:val="12"/>
                <w:rFonts w:hint="default"/>
                <w:color w:val="auto"/>
                <w:sz w:val="30"/>
                <w:szCs w:val="30"/>
                <w:lang w:bidi="ar"/>
              </w:rPr>
              <w:t>1.6</w:t>
            </w:r>
            <w:r>
              <w:rPr>
                <w:rStyle w:val="12"/>
                <w:rFonts w:hint="eastAsia" w:eastAsia="仿宋"/>
                <w:color w:val="auto"/>
                <w:sz w:val="30"/>
                <w:szCs w:val="30"/>
                <w:lang w:val="en-US" w:eastAsia="zh-CN" w:bidi="ar"/>
              </w:rPr>
              <w:t xml:space="preserve"> </w:t>
            </w:r>
            <w:r>
              <w:rPr>
                <w:rStyle w:val="12"/>
                <w:rFonts w:hint="default"/>
                <w:color w:val="auto"/>
                <w:sz w:val="30"/>
                <w:szCs w:val="30"/>
                <w:lang w:bidi="ar"/>
              </w:rPr>
              <w:t>中西医结合工作开展情况</w:t>
            </w:r>
          </w:p>
        </w:tc>
        <w:tc>
          <w:tcPr>
            <w:tcW w:w="1529" w:type="dxa"/>
            <w:tcBorders>
              <w:top w:val="nil"/>
              <w:left w:val="nil"/>
              <w:bottom w:val="single" w:color="000000" w:sz="8" w:space="0"/>
              <w:right w:val="single" w:color="auto" w:sz="4" w:space="0"/>
            </w:tcBorders>
            <w:noWrap w:val="0"/>
            <w:vAlign w:val="center"/>
          </w:tcPr>
          <w:p>
            <w:pPr>
              <w:widowControl/>
              <w:jc w:val="center"/>
              <w:textAlignment w:val="center"/>
              <w:rPr>
                <w:rFonts w:hint="eastAsia" w:ascii="仿宋" w:hAnsi="仿宋" w:eastAsia="仿宋" w:cs="仿宋"/>
                <w:color w:val="000000"/>
                <w:sz w:val="30"/>
                <w:szCs w:val="30"/>
              </w:rPr>
            </w:pPr>
            <w:r>
              <w:rPr>
                <w:rStyle w:val="12"/>
                <w:rFonts w:hint="default"/>
                <w:color w:val="auto"/>
                <w:sz w:val="30"/>
                <w:szCs w:val="30"/>
                <w:lang w:bidi="ar"/>
              </w:rPr>
              <w:t>/</w:t>
            </w:r>
          </w:p>
        </w:tc>
        <w:tc>
          <w:tcPr>
            <w:tcW w:w="477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仿宋"/>
                <w:color w:val="000000"/>
                <w:sz w:val="30"/>
                <w:szCs w:val="30"/>
              </w:rPr>
            </w:pPr>
          </w:p>
        </w:tc>
      </w:tr>
      <w:tr>
        <w:tblPrEx>
          <w:tblCellMar>
            <w:top w:w="0" w:type="dxa"/>
            <w:left w:w="108" w:type="dxa"/>
            <w:bottom w:w="0" w:type="dxa"/>
            <w:right w:w="108" w:type="dxa"/>
          </w:tblCellMar>
        </w:tblPrEx>
        <w:trPr>
          <w:trHeight w:val="600" w:hRule="atLeast"/>
        </w:trPr>
        <w:tc>
          <w:tcPr>
            <w:tcW w:w="995"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30"/>
                <w:szCs w:val="30"/>
              </w:rPr>
            </w:pPr>
            <w:r>
              <w:rPr>
                <w:rFonts w:hint="eastAsia" w:ascii="仿宋" w:hAnsi="仿宋" w:eastAsia="仿宋" w:cs="仿宋"/>
                <w:color w:val="000000"/>
                <w:kern w:val="0"/>
                <w:sz w:val="30"/>
                <w:szCs w:val="30"/>
                <w:lang w:bidi="ar"/>
              </w:rPr>
              <w:t>7</w:t>
            </w:r>
          </w:p>
        </w:tc>
        <w:tc>
          <w:tcPr>
            <w:tcW w:w="2490" w:type="dxa"/>
            <w:vMerge w:val="restart"/>
            <w:tcBorders>
              <w:top w:val="nil"/>
              <w:left w:val="nil"/>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30"/>
                <w:szCs w:val="30"/>
              </w:rPr>
            </w:pPr>
            <w:r>
              <w:rPr>
                <w:rStyle w:val="12"/>
                <w:rFonts w:hint="default"/>
                <w:color w:val="auto"/>
                <w:sz w:val="30"/>
                <w:szCs w:val="30"/>
                <w:lang w:bidi="ar"/>
              </w:rPr>
              <w:t>2.质量安全目标改进情况</w:t>
            </w:r>
          </w:p>
        </w:tc>
        <w:tc>
          <w:tcPr>
            <w:tcW w:w="5039" w:type="dxa"/>
            <w:tcBorders>
              <w:top w:val="nil"/>
              <w:left w:val="nil"/>
              <w:bottom w:val="single" w:color="000000" w:sz="8" w:space="0"/>
              <w:right w:val="single" w:color="000000" w:sz="8" w:space="0"/>
            </w:tcBorders>
            <w:noWrap w:val="0"/>
            <w:vAlign w:val="center"/>
          </w:tcPr>
          <w:p>
            <w:pPr>
              <w:widowControl/>
              <w:ind w:left="640" w:hanging="600" w:hangingChars="200"/>
              <w:textAlignment w:val="center"/>
              <w:rPr>
                <w:rStyle w:val="12"/>
                <w:rFonts w:hint="default"/>
                <w:color w:val="auto"/>
                <w:sz w:val="30"/>
                <w:szCs w:val="30"/>
                <w:lang w:bidi="ar"/>
              </w:rPr>
            </w:pPr>
            <w:r>
              <w:rPr>
                <w:rStyle w:val="12"/>
                <w:rFonts w:hint="default"/>
                <w:color w:val="auto"/>
                <w:sz w:val="30"/>
                <w:szCs w:val="30"/>
                <w:lang w:bidi="ar"/>
              </w:rPr>
              <w:t>2.1</w:t>
            </w:r>
            <w:r>
              <w:rPr>
                <w:rStyle w:val="12"/>
                <w:rFonts w:hint="eastAsia" w:eastAsia="仿宋"/>
                <w:color w:val="auto"/>
                <w:sz w:val="30"/>
                <w:szCs w:val="30"/>
                <w:lang w:val="en-US" w:eastAsia="zh-CN" w:bidi="ar"/>
              </w:rPr>
              <w:t xml:space="preserve"> </w:t>
            </w:r>
            <w:r>
              <w:rPr>
                <w:rStyle w:val="12"/>
                <w:rFonts w:hint="default"/>
                <w:color w:val="auto"/>
                <w:sz w:val="30"/>
                <w:szCs w:val="30"/>
                <w:lang w:bidi="ar"/>
              </w:rPr>
              <w:t>年度国家医疗质量安全改进目标</w:t>
            </w:r>
          </w:p>
          <w:p>
            <w:pPr>
              <w:widowControl/>
              <w:ind w:firstLine="600" w:firstLineChars="200"/>
              <w:textAlignment w:val="center"/>
              <w:rPr>
                <w:rFonts w:hint="eastAsia" w:ascii="仿宋" w:hAnsi="仿宋" w:eastAsia="仿宋" w:cs="仿宋"/>
                <w:color w:val="000000"/>
                <w:sz w:val="30"/>
                <w:szCs w:val="30"/>
              </w:rPr>
            </w:pPr>
            <w:r>
              <w:rPr>
                <w:rStyle w:val="12"/>
                <w:rFonts w:hint="default"/>
                <w:color w:val="auto"/>
                <w:sz w:val="30"/>
                <w:szCs w:val="30"/>
                <w:lang w:bidi="ar"/>
              </w:rPr>
              <w:t>改进情况</w:t>
            </w:r>
          </w:p>
        </w:tc>
        <w:tc>
          <w:tcPr>
            <w:tcW w:w="152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30"/>
                <w:szCs w:val="30"/>
              </w:rPr>
            </w:pPr>
            <w:r>
              <w:rPr>
                <w:rStyle w:val="12"/>
                <w:rFonts w:hint="default"/>
                <w:color w:val="auto"/>
                <w:sz w:val="30"/>
                <w:szCs w:val="30"/>
                <w:lang w:bidi="ar"/>
              </w:rPr>
              <w:t>/</w:t>
            </w:r>
          </w:p>
        </w:tc>
        <w:tc>
          <w:tcPr>
            <w:tcW w:w="4772" w:type="dxa"/>
            <w:vMerge w:val="restart"/>
            <w:tcBorders>
              <w:top w:val="single" w:color="auto" w:sz="4" w:space="0"/>
              <w:left w:val="nil"/>
              <w:bottom w:val="single" w:color="auto" w:sz="4" w:space="0"/>
              <w:right w:val="single" w:color="000000" w:sz="8" w:space="0"/>
            </w:tcBorders>
            <w:noWrap w:val="0"/>
            <w:vAlign w:val="center"/>
          </w:tcPr>
          <w:p>
            <w:pPr>
              <w:widowControl/>
              <w:textAlignment w:val="center"/>
              <w:rPr>
                <w:rFonts w:hint="eastAsia" w:ascii="仿宋" w:hAnsi="仿宋" w:eastAsia="仿宋" w:cs="仿宋"/>
                <w:color w:val="000000"/>
                <w:kern w:val="0"/>
                <w:sz w:val="30"/>
                <w:szCs w:val="30"/>
                <w:lang w:eastAsia="zh-CN" w:bidi="ar"/>
              </w:rPr>
            </w:pPr>
            <w:r>
              <w:rPr>
                <w:rFonts w:hint="eastAsia" w:ascii="仿宋" w:hAnsi="仿宋" w:eastAsia="仿宋" w:cs="仿宋"/>
                <w:color w:val="000000"/>
                <w:kern w:val="0"/>
                <w:sz w:val="30"/>
                <w:szCs w:val="30"/>
                <w:lang w:bidi="ar"/>
              </w:rPr>
              <w:t>卫生健康行政部门</w:t>
            </w:r>
          </w:p>
          <w:p>
            <w:pPr>
              <w:widowControl/>
              <w:textAlignment w:val="center"/>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各级各专业质控中心</w:t>
            </w:r>
          </w:p>
        </w:tc>
      </w:tr>
      <w:tr>
        <w:tblPrEx>
          <w:tblCellMar>
            <w:top w:w="0" w:type="dxa"/>
            <w:left w:w="108" w:type="dxa"/>
            <w:bottom w:w="0" w:type="dxa"/>
            <w:right w:w="108" w:type="dxa"/>
          </w:tblCellMar>
        </w:tblPrEx>
        <w:trPr>
          <w:trHeight w:val="600" w:hRule="atLeast"/>
        </w:trPr>
        <w:tc>
          <w:tcPr>
            <w:tcW w:w="995" w:type="dxa"/>
            <w:tcBorders>
              <w:top w:val="nil"/>
              <w:left w:val="single" w:color="000000" w:sz="8" w:space="0"/>
              <w:bottom w:val="single" w:color="auto" w:sz="4" w:space="0"/>
              <w:right w:val="single" w:color="000000" w:sz="8" w:space="0"/>
            </w:tcBorders>
            <w:noWrap w:val="0"/>
            <w:vAlign w:val="center"/>
          </w:tcPr>
          <w:p>
            <w:pPr>
              <w:widowControl/>
              <w:jc w:val="center"/>
              <w:textAlignment w:val="center"/>
              <w:rPr>
                <w:rFonts w:hint="eastAsia" w:ascii="仿宋" w:hAnsi="仿宋" w:eastAsia="仿宋" w:cs="仿宋"/>
                <w:color w:val="000000"/>
                <w:sz w:val="30"/>
                <w:szCs w:val="30"/>
              </w:rPr>
            </w:pPr>
            <w:r>
              <w:rPr>
                <w:rFonts w:hint="eastAsia" w:ascii="仿宋" w:hAnsi="仿宋" w:eastAsia="仿宋" w:cs="仿宋"/>
                <w:color w:val="000000"/>
                <w:kern w:val="0"/>
                <w:sz w:val="30"/>
                <w:szCs w:val="30"/>
                <w:lang w:bidi="ar"/>
              </w:rPr>
              <w:t>8</w:t>
            </w:r>
          </w:p>
        </w:tc>
        <w:tc>
          <w:tcPr>
            <w:tcW w:w="2490" w:type="dxa"/>
            <w:vMerge w:val="continue"/>
            <w:tcBorders>
              <w:top w:val="nil"/>
              <w:left w:val="nil"/>
              <w:bottom w:val="single" w:color="auto" w:sz="4" w:space="0"/>
              <w:right w:val="single" w:color="000000" w:sz="8" w:space="0"/>
            </w:tcBorders>
            <w:noWrap w:val="0"/>
            <w:vAlign w:val="center"/>
          </w:tcPr>
          <w:p>
            <w:pPr>
              <w:jc w:val="center"/>
              <w:rPr>
                <w:rFonts w:hint="eastAsia" w:ascii="仿宋" w:hAnsi="仿宋" w:eastAsia="仿宋" w:cs="仿宋"/>
                <w:color w:val="000000"/>
                <w:sz w:val="30"/>
                <w:szCs w:val="30"/>
              </w:rPr>
            </w:pPr>
          </w:p>
        </w:tc>
        <w:tc>
          <w:tcPr>
            <w:tcW w:w="5039" w:type="dxa"/>
            <w:tcBorders>
              <w:top w:val="nil"/>
              <w:left w:val="nil"/>
              <w:bottom w:val="single" w:color="auto" w:sz="4" w:space="0"/>
              <w:right w:val="single" w:color="000000" w:sz="8" w:space="0"/>
            </w:tcBorders>
            <w:noWrap w:val="0"/>
            <w:vAlign w:val="center"/>
          </w:tcPr>
          <w:p>
            <w:pPr>
              <w:widowControl/>
              <w:textAlignment w:val="center"/>
              <w:rPr>
                <w:rFonts w:hint="eastAsia" w:ascii="仿宋" w:hAnsi="仿宋" w:eastAsia="仿宋" w:cs="仿宋"/>
                <w:color w:val="000000"/>
                <w:sz w:val="30"/>
                <w:szCs w:val="30"/>
              </w:rPr>
            </w:pPr>
            <w:r>
              <w:rPr>
                <w:rStyle w:val="12"/>
                <w:rFonts w:hint="default"/>
                <w:color w:val="auto"/>
                <w:sz w:val="30"/>
                <w:szCs w:val="30"/>
                <w:lang w:bidi="ar"/>
              </w:rPr>
              <w:t>2.2</w:t>
            </w:r>
            <w:r>
              <w:rPr>
                <w:rStyle w:val="12"/>
                <w:rFonts w:hint="eastAsia" w:eastAsia="仿宋"/>
                <w:color w:val="auto"/>
                <w:sz w:val="30"/>
                <w:szCs w:val="30"/>
                <w:lang w:val="en-US" w:eastAsia="zh-CN" w:bidi="ar"/>
              </w:rPr>
              <w:t xml:space="preserve"> </w:t>
            </w:r>
            <w:r>
              <w:rPr>
                <w:rStyle w:val="12"/>
                <w:rFonts w:hint="default"/>
                <w:color w:val="auto"/>
                <w:sz w:val="30"/>
                <w:szCs w:val="30"/>
                <w:lang w:bidi="ar"/>
              </w:rPr>
              <w:t>年度质控工作改进目标改进情况</w:t>
            </w:r>
          </w:p>
        </w:tc>
        <w:tc>
          <w:tcPr>
            <w:tcW w:w="1529" w:type="dxa"/>
            <w:tcBorders>
              <w:top w:val="nil"/>
              <w:left w:val="nil"/>
              <w:bottom w:val="single" w:color="auto" w:sz="4" w:space="0"/>
              <w:right w:val="single" w:color="000000" w:sz="8" w:space="0"/>
            </w:tcBorders>
            <w:noWrap w:val="0"/>
            <w:vAlign w:val="center"/>
          </w:tcPr>
          <w:p>
            <w:pPr>
              <w:widowControl/>
              <w:jc w:val="center"/>
              <w:textAlignment w:val="center"/>
              <w:rPr>
                <w:rFonts w:hint="eastAsia" w:ascii="仿宋" w:hAnsi="仿宋" w:eastAsia="仿宋" w:cs="仿宋"/>
                <w:color w:val="000000"/>
                <w:sz w:val="30"/>
                <w:szCs w:val="30"/>
              </w:rPr>
            </w:pPr>
            <w:r>
              <w:rPr>
                <w:rStyle w:val="12"/>
                <w:rFonts w:hint="default"/>
                <w:color w:val="auto"/>
                <w:sz w:val="30"/>
                <w:szCs w:val="30"/>
                <w:lang w:bidi="ar"/>
              </w:rPr>
              <w:t>/</w:t>
            </w:r>
          </w:p>
        </w:tc>
        <w:tc>
          <w:tcPr>
            <w:tcW w:w="4772" w:type="dxa"/>
            <w:vMerge w:val="continue"/>
            <w:tcBorders>
              <w:top w:val="single" w:color="auto" w:sz="4" w:space="0"/>
              <w:left w:val="nil"/>
              <w:bottom w:val="single" w:color="auto" w:sz="4" w:space="0"/>
              <w:right w:val="single" w:color="000000" w:sz="8" w:space="0"/>
            </w:tcBorders>
            <w:noWrap w:val="0"/>
            <w:vAlign w:val="center"/>
          </w:tcPr>
          <w:p>
            <w:pPr>
              <w:rPr>
                <w:rFonts w:hint="eastAsia" w:ascii="仿宋" w:hAnsi="仿宋" w:eastAsia="仿宋" w:cs="仿宋"/>
                <w:color w:val="000000"/>
                <w:sz w:val="30"/>
                <w:szCs w:val="30"/>
              </w:rPr>
            </w:pPr>
          </w:p>
        </w:tc>
      </w:tr>
      <w:tr>
        <w:tblPrEx>
          <w:tblCellMar>
            <w:top w:w="0" w:type="dxa"/>
            <w:left w:w="108" w:type="dxa"/>
            <w:bottom w:w="0" w:type="dxa"/>
            <w:right w:w="108" w:type="dxa"/>
          </w:tblCellMar>
        </w:tblPrEx>
        <w:trPr>
          <w:trHeight w:val="770" w:hRule="atLeast"/>
        </w:trPr>
        <w:tc>
          <w:tcPr>
            <w:tcW w:w="995"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9</w:t>
            </w:r>
          </w:p>
        </w:tc>
        <w:tc>
          <w:tcPr>
            <w:tcW w:w="249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default" w:ascii="仿宋" w:hAnsi="仿宋" w:eastAsia="仿宋" w:cs="仿宋"/>
                <w:color w:val="000000"/>
                <w:sz w:val="30"/>
                <w:szCs w:val="30"/>
                <w:lang w:eastAsia="zh-CN"/>
              </w:rPr>
            </w:pPr>
            <w:r>
              <w:rPr>
                <w:rFonts w:hint="default" w:ascii="仿宋" w:hAnsi="仿宋" w:eastAsia="仿宋" w:cs="仿宋"/>
                <w:color w:val="000000"/>
                <w:sz w:val="30"/>
                <w:szCs w:val="30"/>
                <w:lang w:eastAsia="zh-CN"/>
              </w:rPr>
              <w:t>3.急诊和日间</w:t>
            </w:r>
          </w:p>
          <w:p>
            <w:pPr>
              <w:widowControl/>
              <w:textAlignment w:val="center"/>
              <w:rPr>
                <w:rFonts w:hint="eastAsia" w:ascii="仿宋" w:hAnsi="仿宋" w:eastAsia="仿宋" w:cs="仿宋"/>
                <w:color w:val="000000"/>
                <w:sz w:val="30"/>
                <w:szCs w:val="30"/>
                <w:lang w:eastAsia="zh-CN"/>
              </w:rPr>
            </w:pPr>
            <w:r>
              <w:rPr>
                <w:rFonts w:hint="default" w:ascii="仿宋" w:hAnsi="仿宋" w:eastAsia="仿宋" w:cs="仿宋"/>
                <w:color w:val="000000"/>
                <w:sz w:val="30"/>
                <w:szCs w:val="30"/>
                <w:lang w:eastAsia="zh-CN"/>
              </w:rPr>
              <w:t>医疗质量</w:t>
            </w:r>
          </w:p>
        </w:tc>
        <w:tc>
          <w:tcPr>
            <w:tcW w:w="5039"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仿宋" w:hAnsi="仿宋" w:eastAsia="仿宋" w:cs="仿宋"/>
                <w:color w:val="000000"/>
                <w:sz w:val="30"/>
                <w:szCs w:val="30"/>
                <w:lang w:eastAsia="zh-CN"/>
              </w:rPr>
            </w:pPr>
            <w:r>
              <w:rPr>
                <w:rFonts w:hint="default" w:ascii="仿宋" w:hAnsi="仿宋" w:eastAsia="仿宋" w:cs="仿宋"/>
                <w:color w:val="000000"/>
                <w:sz w:val="30"/>
                <w:szCs w:val="30"/>
                <w:lang w:eastAsia="zh-CN"/>
              </w:rPr>
              <w:t>3.1</w:t>
            </w:r>
            <w:r>
              <w:rPr>
                <w:rFonts w:hint="eastAsia" w:ascii="仿宋" w:hAnsi="仿宋" w:eastAsia="仿宋" w:cs="仿宋"/>
                <w:color w:val="000000"/>
                <w:sz w:val="30"/>
                <w:szCs w:val="30"/>
                <w:lang w:val="en-US" w:eastAsia="zh-CN"/>
              </w:rPr>
              <w:t xml:space="preserve"> </w:t>
            </w:r>
            <w:r>
              <w:rPr>
                <w:rFonts w:hint="default" w:ascii="仿宋" w:hAnsi="仿宋" w:eastAsia="仿宋" w:cs="仿宋"/>
                <w:color w:val="000000"/>
                <w:sz w:val="30"/>
                <w:szCs w:val="30"/>
                <w:lang w:eastAsia="zh-CN"/>
              </w:rPr>
              <w:t>平均急救响应时间</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仿宋" w:hAnsi="仿宋" w:eastAsia="仿宋" w:cs="仿宋"/>
                <w:color w:val="000000"/>
                <w:sz w:val="30"/>
                <w:szCs w:val="30"/>
                <w:lang w:eastAsia="zh-CN"/>
              </w:rPr>
            </w:pPr>
            <w:r>
              <w:rPr>
                <w:rFonts w:hint="default" w:ascii="仿宋" w:hAnsi="仿宋" w:eastAsia="仿宋" w:cs="仿宋"/>
                <w:color w:val="000000"/>
                <w:sz w:val="30"/>
                <w:szCs w:val="30"/>
                <w:lang w:eastAsia="zh-CN"/>
              </w:rPr>
              <w:t>逐步降低</w:t>
            </w:r>
          </w:p>
        </w:tc>
        <w:tc>
          <w:tcPr>
            <w:tcW w:w="4772" w:type="dxa"/>
            <w:vMerge w:val="restart"/>
            <w:tcBorders>
              <w:top w:val="single" w:color="auto" w:sz="4" w:space="0"/>
              <w:left w:val="single" w:color="auto" w:sz="4" w:space="0"/>
              <w:bottom w:val="single" w:color="auto" w:sz="4"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院前急救、急诊</w:t>
            </w:r>
            <w:r>
              <w:rPr>
                <w:rFonts w:hint="eastAsia" w:ascii="仿宋" w:hAnsi="仿宋" w:eastAsia="仿宋" w:cs="仿宋"/>
                <w:color w:val="000000"/>
                <w:sz w:val="30"/>
                <w:szCs w:val="30"/>
                <w:lang w:val="en-US" w:eastAsia="zh-CN"/>
              </w:rPr>
              <w:t>等</w:t>
            </w:r>
            <w:r>
              <w:rPr>
                <w:rFonts w:hint="eastAsia" w:ascii="仿宋" w:hAnsi="仿宋" w:eastAsia="仿宋" w:cs="仿宋"/>
                <w:color w:val="000000"/>
                <w:sz w:val="30"/>
                <w:szCs w:val="30"/>
                <w:lang w:eastAsia="zh-CN"/>
              </w:rPr>
              <w:t>质控中心</w:t>
            </w:r>
          </w:p>
        </w:tc>
      </w:tr>
      <w:tr>
        <w:tblPrEx>
          <w:tblCellMar>
            <w:top w:w="0" w:type="dxa"/>
            <w:left w:w="108" w:type="dxa"/>
            <w:bottom w:w="0" w:type="dxa"/>
            <w:right w:w="108" w:type="dxa"/>
          </w:tblCellMar>
        </w:tblPrEx>
        <w:trPr>
          <w:trHeight w:val="735" w:hRule="atLeast"/>
        </w:trPr>
        <w:tc>
          <w:tcPr>
            <w:tcW w:w="995" w:type="dxa"/>
            <w:tcBorders>
              <w:top w:val="single" w:color="auto" w:sz="4" w:space="0"/>
              <w:left w:val="single" w:color="000000" w:sz="8" w:space="0"/>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10</w:t>
            </w:r>
          </w:p>
        </w:tc>
        <w:tc>
          <w:tcPr>
            <w:tcW w:w="2490" w:type="dxa"/>
            <w:vMerge w:val="continue"/>
            <w:tcBorders>
              <w:top w:val="single" w:color="auto" w:sz="4" w:space="0"/>
              <w:left w:val="single" w:color="000000" w:sz="8" w:space="0"/>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p>
        </w:tc>
        <w:tc>
          <w:tcPr>
            <w:tcW w:w="5039" w:type="dxa"/>
            <w:tcBorders>
              <w:top w:val="single" w:color="auto" w:sz="4" w:space="0"/>
              <w:left w:val="single" w:color="000000" w:sz="8" w:space="0"/>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r>
              <w:rPr>
                <w:rFonts w:hint="default" w:ascii="仿宋" w:hAnsi="仿宋" w:eastAsia="仿宋" w:cs="仿宋"/>
                <w:color w:val="000000"/>
                <w:sz w:val="30"/>
                <w:szCs w:val="30"/>
                <w:lang w:eastAsia="zh-CN"/>
              </w:rPr>
              <w:t>3.2</w:t>
            </w:r>
            <w:r>
              <w:rPr>
                <w:rFonts w:hint="eastAsia" w:ascii="仿宋" w:hAnsi="仿宋" w:eastAsia="仿宋" w:cs="仿宋"/>
                <w:color w:val="000000"/>
                <w:sz w:val="30"/>
                <w:szCs w:val="30"/>
                <w:lang w:val="en-US" w:eastAsia="zh-CN"/>
              </w:rPr>
              <w:t xml:space="preserve"> </w:t>
            </w:r>
            <w:r>
              <w:rPr>
                <w:rFonts w:hint="default" w:ascii="仿宋" w:hAnsi="仿宋" w:eastAsia="仿宋" w:cs="仿宋"/>
                <w:color w:val="000000"/>
                <w:sz w:val="30"/>
                <w:szCs w:val="30"/>
                <w:lang w:eastAsia="zh-CN"/>
              </w:rPr>
              <w:t>心脏骤停复苏成功率</w:t>
            </w:r>
          </w:p>
        </w:tc>
        <w:tc>
          <w:tcPr>
            <w:tcW w:w="1529" w:type="dxa"/>
            <w:tcBorders>
              <w:top w:val="single" w:color="auto" w:sz="4" w:space="0"/>
              <w:left w:val="single" w:color="000000" w:sz="8" w:space="0"/>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r>
              <w:rPr>
                <w:rFonts w:hint="default" w:ascii="仿宋" w:hAnsi="仿宋" w:eastAsia="仿宋" w:cs="仿宋"/>
                <w:color w:val="000000"/>
                <w:sz w:val="30"/>
                <w:szCs w:val="30"/>
                <w:lang w:eastAsia="zh-CN"/>
              </w:rPr>
              <w:t>逐步升高</w:t>
            </w:r>
          </w:p>
        </w:tc>
        <w:tc>
          <w:tcPr>
            <w:tcW w:w="4772" w:type="dxa"/>
            <w:vMerge w:val="continue"/>
            <w:tcBorders>
              <w:top w:val="single" w:color="auto" w:sz="4" w:space="0"/>
              <w:left w:val="single" w:color="000000" w:sz="8" w:space="0"/>
              <w:bottom w:val="single" w:color="auto" w:sz="4"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p>
        </w:tc>
      </w:tr>
      <w:tr>
        <w:tblPrEx>
          <w:tblCellMar>
            <w:top w:w="0" w:type="dxa"/>
            <w:left w:w="108" w:type="dxa"/>
            <w:bottom w:w="0" w:type="dxa"/>
            <w:right w:w="108" w:type="dxa"/>
          </w:tblCellMar>
        </w:tblPrEx>
        <w:trPr>
          <w:trHeight w:val="90" w:hRule="atLeast"/>
        </w:trPr>
        <w:tc>
          <w:tcPr>
            <w:tcW w:w="995" w:type="dxa"/>
            <w:tcBorders>
              <w:top w:val="single" w:color="000000" w:sz="8" w:space="0"/>
              <w:left w:val="single" w:color="000000" w:sz="8" w:space="0"/>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11</w:t>
            </w:r>
          </w:p>
        </w:tc>
        <w:tc>
          <w:tcPr>
            <w:tcW w:w="2490"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p>
        </w:tc>
        <w:tc>
          <w:tcPr>
            <w:tcW w:w="5039" w:type="dxa"/>
            <w:tcBorders>
              <w:top w:val="single" w:color="000000" w:sz="8" w:space="0"/>
              <w:left w:val="single" w:color="000000" w:sz="8" w:space="0"/>
              <w:bottom w:val="single" w:color="000000" w:sz="8" w:space="0"/>
              <w:right w:val="single" w:color="000000" w:sz="8" w:space="0"/>
            </w:tcBorders>
            <w:noWrap w:val="0"/>
            <w:vAlign w:val="center"/>
          </w:tcPr>
          <w:p>
            <w:pPr>
              <w:widowControl/>
              <w:textAlignment w:val="center"/>
              <w:rPr>
                <w:rFonts w:hint="default" w:ascii="仿宋" w:hAnsi="仿宋" w:eastAsia="仿宋" w:cs="仿宋"/>
                <w:color w:val="000000"/>
                <w:sz w:val="30"/>
                <w:szCs w:val="30"/>
                <w:lang w:eastAsia="zh-CN"/>
              </w:rPr>
            </w:pPr>
            <w:r>
              <w:rPr>
                <w:rFonts w:hint="default" w:ascii="仿宋" w:hAnsi="仿宋" w:eastAsia="仿宋" w:cs="仿宋"/>
                <w:color w:val="000000"/>
                <w:sz w:val="30"/>
                <w:szCs w:val="30"/>
                <w:lang w:eastAsia="zh-CN"/>
              </w:rPr>
              <w:t>3.3</w:t>
            </w:r>
            <w:r>
              <w:rPr>
                <w:rFonts w:hint="eastAsia" w:ascii="仿宋" w:hAnsi="仿宋" w:eastAsia="仿宋" w:cs="仿宋"/>
                <w:color w:val="000000"/>
                <w:sz w:val="30"/>
                <w:szCs w:val="30"/>
                <w:lang w:val="en-US" w:eastAsia="zh-CN"/>
              </w:rPr>
              <w:t xml:space="preserve"> </w:t>
            </w:r>
            <w:r>
              <w:rPr>
                <w:rFonts w:hint="default" w:ascii="仿宋" w:hAnsi="仿宋" w:eastAsia="仿宋" w:cs="仿宋"/>
                <w:color w:val="000000"/>
                <w:sz w:val="30"/>
                <w:szCs w:val="30"/>
                <w:lang w:eastAsia="zh-CN"/>
              </w:rPr>
              <w:t>急性ST段抬高型心肌梗死再灌</w:t>
            </w:r>
          </w:p>
          <w:p>
            <w:pPr>
              <w:widowControl/>
              <w:ind w:firstLine="600" w:firstLineChars="200"/>
              <w:textAlignment w:val="center"/>
              <w:rPr>
                <w:rFonts w:hint="eastAsia" w:ascii="仿宋" w:hAnsi="仿宋" w:eastAsia="仿宋" w:cs="仿宋"/>
                <w:color w:val="000000"/>
                <w:sz w:val="30"/>
                <w:szCs w:val="30"/>
                <w:lang w:eastAsia="zh-CN"/>
              </w:rPr>
            </w:pPr>
            <w:r>
              <w:rPr>
                <w:rFonts w:hint="default" w:ascii="仿宋" w:hAnsi="仿宋" w:eastAsia="仿宋" w:cs="仿宋"/>
                <w:color w:val="000000"/>
                <w:sz w:val="30"/>
                <w:szCs w:val="30"/>
                <w:lang w:eastAsia="zh-CN"/>
              </w:rPr>
              <w:t>注治疗率</w:t>
            </w:r>
          </w:p>
        </w:tc>
        <w:tc>
          <w:tcPr>
            <w:tcW w:w="1529" w:type="dxa"/>
            <w:tcBorders>
              <w:top w:val="single" w:color="000000" w:sz="8" w:space="0"/>
              <w:left w:val="single" w:color="000000" w:sz="8" w:space="0"/>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r>
              <w:rPr>
                <w:rFonts w:hint="default" w:ascii="仿宋" w:hAnsi="仿宋" w:eastAsia="仿宋" w:cs="仿宋"/>
                <w:color w:val="000000"/>
                <w:sz w:val="30"/>
                <w:szCs w:val="30"/>
                <w:lang w:eastAsia="zh-CN"/>
              </w:rPr>
              <w:t>逐步升高</w:t>
            </w:r>
          </w:p>
        </w:tc>
        <w:tc>
          <w:tcPr>
            <w:tcW w:w="4772" w:type="dxa"/>
            <w:vMerge w:val="restart"/>
            <w:tcBorders>
              <w:top w:val="single" w:color="auto" w:sz="4" w:space="0"/>
              <w:left w:val="single" w:color="000000" w:sz="8" w:space="0"/>
              <w:bottom w:val="single" w:color="auto" w:sz="4"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心血管病介入诊疗、脑卒中、</w:t>
            </w:r>
          </w:p>
          <w:p>
            <w:pPr>
              <w:widowControl/>
              <w:textAlignment w:val="center"/>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神经内科、急诊</w:t>
            </w:r>
            <w:r>
              <w:rPr>
                <w:rFonts w:hint="default" w:ascii="仿宋" w:hAnsi="仿宋" w:eastAsia="仿宋" w:cs="仿宋"/>
                <w:color w:val="000000"/>
                <w:sz w:val="30"/>
                <w:szCs w:val="30"/>
                <w:lang w:val="en" w:eastAsia="zh-CN"/>
              </w:rPr>
              <w:t>等</w:t>
            </w:r>
            <w:r>
              <w:rPr>
                <w:rFonts w:hint="eastAsia" w:ascii="仿宋" w:hAnsi="仿宋" w:eastAsia="仿宋" w:cs="仿宋"/>
                <w:color w:val="000000"/>
                <w:sz w:val="30"/>
                <w:szCs w:val="30"/>
                <w:lang w:eastAsia="zh-CN"/>
              </w:rPr>
              <w:t>质控中心</w:t>
            </w:r>
          </w:p>
        </w:tc>
      </w:tr>
      <w:tr>
        <w:tblPrEx>
          <w:tblCellMar>
            <w:top w:w="0" w:type="dxa"/>
            <w:left w:w="108" w:type="dxa"/>
            <w:bottom w:w="0" w:type="dxa"/>
            <w:right w:w="108" w:type="dxa"/>
          </w:tblCellMar>
        </w:tblPrEx>
        <w:trPr>
          <w:trHeight w:val="479" w:hRule="atLeast"/>
        </w:trPr>
        <w:tc>
          <w:tcPr>
            <w:tcW w:w="995" w:type="dxa"/>
            <w:tcBorders>
              <w:top w:val="single" w:color="000000" w:sz="8" w:space="0"/>
              <w:left w:val="single" w:color="000000" w:sz="8" w:space="0"/>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12</w:t>
            </w:r>
          </w:p>
        </w:tc>
        <w:tc>
          <w:tcPr>
            <w:tcW w:w="2490"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p>
        </w:tc>
        <w:tc>
          <w:tcPr>
            <w:tcW w:w="5039" w:type="dxa"/>
            <w:tcBorders>
              <w:top w:val="single" w:color="000000" w:sz="8" w:space="0"/>
              <w:left w:val="nil"/>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r>
              <w:rPr>
                <w:rFonts w:hint="default" w:ascii="仿宋" w:hAnsi="仿宋" w:eastAsia="仿宋" w:cs="仿宋"/>
                <w:color w:val="000000"/>
                <w:sz w:val="30"/>
                <w:szCs w:val="30"/>
                <w:lang w:eastAsia="zh-CN"/>
              </w:rPr>
              <w:t>3.4</w:t>
            </w:r>
            <w:r>
              <w:rPr>
                <w:rFonts w:hint="eastAsia" w:ascii="仿宋" w:hAnsi="仿宋" w:eastAsia="仿宋" w:cs="仿宋"/>
                <w:color w:val="000000"/>
                <w:sz w:val="30"/>
                <w:szCs w:val="30"/>
                <w:lang w:val="en-US" w:eastAsia="zh-CN"/>
              </w:rPr>
              <w:t xml:space="preserve"> </w:t>
            </w:r>
            <w:r>
              <w:rPr>
                <w:rFonts w:hint="default" w:ascii="仿宋" w:hAnsi="仿宋" w:eastAsia="仿宋" w:cs="仿宋"/>
                <w:color w:val="000000"/>
                <w:sz w:val="30"/>
                <w:szCs w:val="30"/>
                <w:lang w:eastAsia="zh-CN"/>
              </w:rPr>
              <w:t>急性脑梗死再灌注治疗率</w:t>
            </w:r>
          </w:p>
        </w:tc>
        <w:tc>
          <w:tcPr>
            <w:tcW w:w="1529" w:type="dxa"/>
            <w:tcBorders>
              <w:top w:val="single" w:color="000000" w:sz="8" w:space="0"/>
              <w:left w:val="nil"/>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r>
              <w:rPr>
                <w:rFonts w:hint="default" w:ascii="仿宋" w:hAnsi="仿宋" w:eastAsia="仿宋" w:cs="仿宋"/>
                <w:color w:val="000000"/>
                <w:sz w:val="30"/>
                <w:szCs w:val="30"/>
                <w:lang w:eastAsia="zh-CN"/>
              </w:rPr>
              <w:t>逐步升高</w:t>
            </w:r>
          </w:p>
        </w:tc>
        <w:tc>
          <w:tcPr>
            <w:tcW w:w="4772" w:type="dxa"/>
            <w:vMerge w:val="continue"/>
            <w:tcBorders>
              <w:top w:val="single" w:color="auto" w:sz="4" w:space="0"/>
              <w:left w:val="single" w:color="000000" w:sz="8" w:space="0"/>
              <w:bottom w:val="single" w:color="auto" w:sz="4"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p>
        </w:tc>
      </w:tr>
      <w:tr>
        <w:tblPrEx>
          <w:tblCellMar>
            <w:top w:w="0" w:type="dxa"/>
            <w:left w:w="108" w:type="dxa"/>
            <w:bottom w:w="0" w:type="dxa"/>
            <w:right w:w="108" w:type="dxa"/>
          </w:tblCellMar>
        </w:tblPrEx>
        <w:trPr>
          <w:trHeight w:val="600" w:hRule="atLeast"/>
        </w:trPr>
        <w:tc>
          <w:tcPr>
            <w:tcW w:w="995" w:type="dxa"/>
            <w:tcBorders>
              <w:top w:val="nil"/>
              <w:left w:val="single" w:color="000000" w:sz="8" w:space="0"/>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13</w:t>
            </w:r>
          </w:p>
        </w:tc>
        <w:tc>
          <w:tcPr>
            <w:tcW w:w="2490"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p>
        </w:tc>
        <w:tc>
          <w:tcPr>
            <w:tcW w:w="5039" w:type="dxa"/>
            <w:tcBorders>
              <w:top w:val="nil"/>
              <w:left w:val="nil"/>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r>
              <w:rPr>
                <w:rFonts w:hint="default" w:ascii="仿宋" w:hAnsi="仿宋" w:eastAsia="仿宋" w:cs="仿宋"/>
                <w:color w:val="000000"/>
                <w:sz w:val="30"/>
                <w:szCs w:val="30"/>
                <w:lang w:eastAsia="zh-CN"/>
              </w:rPr>
              <w:t>3.5</w:t>
            </w:r>
            <w:r>
              <w:rPr>
                <w:rFonts w:hint="eastAsia" w:ascii="仿宋" w:hAnsi="仿宋" w:eastAsia="仿宋" w:cs="仿宋"/>
                <w:color w:val="000000"/>
                <w:sz w:val="30"/>
                <w:szCs w:val="30"/>
                <w:lang w:val="en-US" w:eastAsia="zh-CN"/>
              </w:rPr>
              <w:t xml:space="preserve"> </w:t>
            </w:r>
            <w:r>
              <w:rPr>
                <w:rFonts w:hint="default" w:ascii="仿宋" w:hAnsi="仿宋" w:eastAsia="仿宋" w:cs="仿宋"/>
                <w:color w:val="000000"/>
                <w:sz w:val="30"/>
                <w:szCs w:val="30"/>
                <w:lang w:eastAsia="zh-CN"/>
              </w:rPr>
              <w:t>开展日间医疗服务的医院占比</w:t>
            </w:r>
          </w:p>
        </w:tc>
        <w:tc>
          <w:tcPr>
            <w:tcW w:w="1529" w:type="dxa"/>
            <w:tcBorders>
              <w:top w:val="nil"/>
              <w:left w:val="nil"/>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r>
              <w:rPr>
                <w:rFonts w:hint="default" w:ascii="仿宋" w:hAnsi="仿宋" w:eastAsia="仿宋" w:cs="仿宋"/>
                <w:color w:val="000000"/>
                <w:sz w:val="30"/>
                <w:szCs w:val="30"/>
                <w:lang w:eastAsia="zh-CN"/>
              </w:rPr>
              <w:t>逐步升高</w:t>
            </w:r>
          </w:p>
        </w:tc>
        <w:tc>
          <w:tcPr>
            <w:tcW w:w="4772" w:type="dxa"/>
            <w:vMerge w:val="restart"/>
            <w:tcBorders>
              <w:top w:val="single" w:color="auto" w:sz="4" w:space="0"/>
              <w:left w:val="nil"/>
              <w:bottom w:val="single" w:color="auto" w:sz="4"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卫生健康行政部门</w:t>
            </w:r>
          </w:p>
          <w:p>
            <w:pPr>
              <w:widowControl/>
              <w:textAlignment w:val="center"/>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麻醉、护理、消毒供应</w:t>
            </w:r>
            <w:r>
              <w:rPr>
                <w:rFonts w:hint="eastAsia" w:ascii="仿宋" w:hAnsi="仿宋" w:eastAsia="仿宋" w:cs="仿宋"/>
                <w:color w:val="000000"/>
                <w:sz w:val="30"/>
                <w:szCs w:val="30"/>
                <w:lang w:val="en-US" w:eastAsia="zh-CN"/>
              </w:rPr>
              <w:t>等</w:t>
            </w:r>
            <w:r>
              <w:rPr>
                <w:rFonts w:hint="eastAsia" w:ascii="仿宋" w:hAnsi="仿宋" w:eastAsia="仿宋" w:cs="仿宋"/>
                <w:color w:val="000000"/>
                <w:sz w:val="30"/>
                <w:szCs w:val="30"/>
                <w:lang w:eastAsia="zh-CN"/>
              </w:rPr>
              <w:t>质控中心</w:t>
            </w:r>
          </w:p>
        </w:tc>
      </w:tr>
      <w:tr>
        <w:tblPrEx>
          <w:tblCellMar>
            <w:top w:w="0" w:type="dxa"/>
            <w:left w:w="108" w:type="dxa"/>
            <w:bottom w:w="0" w:type="dxa"/>
            <w:right w:w="108" w:type="dxa"/>
          </w:tblCellMar>
        </w:tblPrEx>
        <w:trPr>
          <w:trHeight w:val="600" w:hRule="atLeast"/>
        </w:trPr>
        <w:tc>
          <w:tcPr>
            <w:tcW w:w="995" w:type="dxa"/>
            <w:tcBorders>
              <w:top w:val="nil"/>
              <w:left w:val="single" w:color="000000" w:sz="8" w:space="0"/>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14</w:t>
            </w:r>
          </w:p>
        </w:tc>
        <w:tc>
          <w:tcPr>
            <w:tcW w:w="2490"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p>
        </w:tc>
        <w:tc>
          <w:tcPr>
            <w:tcW w:w="5039" w:type="dxa"/>
            <w:tcBorders>
              <w:top w:val="nil"/>
              <w:left w:val="nil"/>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r>
              <w:rPr>
                <w:rFonts w:hint="default" w:ascii="仿宋" w:hAnsi="仿宋" w:eastAsia="仿宋" w:cs="仿宋"/>
                <w:color w:val="000000"/>
                <w:sz w:val="30"/>
                <w:szCs w:val="30"/>
                <w:lang w:eastAsia="zh-CN"/>
              </w:rPr>
              <w:t>3.6</w:t>
            </w:r>
            <w:r>
              <w:rPr>
                <w:rFonts w:hint="eastAsia" w:ascii="仿宋" w:hAnsi="仿宋" w:eastAsia="仿宋" w:cs="仿宋"/>
                <w:color w:val="000000"/>
                <w:sz w:val="30"/>
                <w:szCs w:val="30"/>
                <w:lang w:val="en-US" w:eastAsia="zh-CN"/>
              </w:rPr>
              <w:t xml:space="preserve"> </w:t>
            </w:r>
            <w:r>
              <w:rPr>
                <w:rFonts w:hint="default" w:ascii="仿宋" w:hAnsi="仿宋" w:eastAsia="仿宋" w:cs="仿宋"/>
                <w:color w:val="000000"/>
                <w:sz w:val="30"/>
                <w:szCs w:val="30"/>
                <w:lang w:eastAsia="zh-CN"/>
              </w:rPr>
              <w:t>日间手术占择期手术的比例</w:t>
            </w:r>
          </w:p>
        </w:tc>
        <w:tc>
          <w:tcPr>
            <w:tcW w:w="1529" w:type="dxa"/>
            <w:tcBorders>
              <w:top w:val="nil"/>
              <w:left w:val="nil"/>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r>
              <w:rPr>
                <w:rFonts w:hint="default" w:ascii="仿宋" w:hAnsi="仿宋" w:eastAsia="仿宋" w:cs="仿宋"/>
                <w:color w:val="000000"/>
                <w:sz w:val="30"/>
                <w:szCs w:val="30"/>
                <w:lang w:eastAsia="zh-CN"/>
              </w:rPr>
              <w:t>逐步升高</w:t>
            </w:r>
          </w:p>
        </w:tc>
        <w:tc>
          <w:tcPr>
            <w:tcW w:w="4772" w:type="dxa"/>
            <w:vMerge w:val="continue"/>
            <w:tcBorders>
              <w:top w:val="single" w:color="auto" w:sz="4" w:space="0"/>
              <w:left w:val="nil"/>
              <w:bottom w:val="single" w:color="auto" w:sz="4"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p>
        </w:tc>
      </w:tr>
      <w:tr>
        <w:tblPrEx>
          <w:tblCellMar>
            <w:top w:w="0" w:type="dxa"/>
            <w:left w:w="108" w:type="dxa"/>
            <w:bottom w:w="0" w:type="dxa"/>
            <w:right w:w="108" w:type="dxa"/>
          </w:tblCellMar>
        </w:tblPrEx>
        <w:trPr>
          <w:trHeight w:val="90" w:hRule="atLeast"/>
        </w:trPr>
        <w:tc>
          <w:tcPr>
            <w:tcW w:w="995" w:type="dxa"/>
            <w:tcBorders>
              <w:top w:val="nil"/>
              <w:left w:val="single" w:color="000000" w:sz="8" w:space="0"/>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15</w:t>
            </w:r>
          </w:p>
        </w:tc>
        <w:tc>
          <w:tcPr>
            <w:tcW w:w="2490" w:type="dxa"/>
            <w:vMerge w:val="restart"/>
            <w:tcBorders>
              <w:top w:val="single" w:color="000000" w:sz="8" w:space="0"/>
              <w:left w:val="nil"/>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4.医疗行为质量</w:t>
            </w:r>
          </w:p>
        </w:tc>
        <w:tc>
          <w:tcPr>
            <w:tcW w:w="5039" w:type="dxa"/>
            <w:tcBorders>
              <w:top w:val="nil"/>
              <w:left w:val="nil"/>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r>
              <w:rPr>
                <w:rFonts w:hint="default" w:ascii="仿宋" w:hAnsi="仿宋" w:eastAsia="仿宋" w:cs="仿宋"/>
                <w:color w:val="000000"/>
                <w:sz w:val="30"/>
                <w:szCs w:val="30"/>
                <w:lang w:eastAsia="zh-CN"/>
              </w:rPr>
              <w:t>4.1</w:t>
            </w:r>
            <w:r>
              <w:rPr>
                <w:rFonts w:hint="eastAsia" w:ascii="仿宋" w:hAnsi="仿宋" w:eastAsia="仿宋" w:cs="仿宋"/>
                <w:color w:val="000000"/>
                <w:sz w:val="30"/>
                <w:szCs w:val="30"/>
                <w:lang w:val="en-US" w:eastAsia="zh-CN"/>
              </w:rPr>
              <w:t xml:space="preserve"> </w:t>
            </w:r>
            <w:r>
              <w:rPr>
                <w:rFonts w:hint="default" w:ascii="仿宋" w:hAnsi="仿宋" w:eastAsia="仿宋" w:cs="仿宋"/>
                <w:color w:val="000000"/>
                <w:sz w:val="30"/>
                <w:szCs w:val="30"/>
                <w:lang w:eastAsia="zh-CN"/>
              </w:rPr>
              <w:t>肿瘤治疗前临床TNM分期评估率</w:t>
            </w:r>
          </w:p>
        </w:tc>
        <w:tc>
          <w:tcPr>
            <w:tcW w:w="1529" w:type="dxa"/>
            <w:tcBorders>
              <w:top w:val="nil"/>
              <w:left w:val="nil"/>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r>
              <w:rPr>
                <w:rFonts w:hint="default" w:ascii="仿宋" w:hAnsi="仿宋" w:eastAsia="仿宋" w:cs="仿宋"/>
                <w:color w:val="000000"/>
                <w:sz w:val="30"/>
                <w:szCs w:val="30"/>
                <w:lang w:eastAsia="zh-CN"/>
              </w:rPr>
              <w:t>逐步升高</w:t>
            </w:r>
          </w:p>
        </w:tc>
        <w:tc>
          <w:tcPr>
            <w:tcW w:w="4772" w:type="dxa"/>
            <w:tcBorders>
              <w:top w:val="single" w:color="auto" w:sz="4" w:space="0"/>
              <w:left w:val="nil"/>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肿瘤、妇科、胸外科、普通外科</w:t>
            </w:r>
            <w:r>
              <w:rPr>
                <w:rFonts w:hint="eastAsia" w:ascii="仿宋" w:hAnsi="仿宋" w:eastAsia="仿宋" w:cs="仿宋"/>
                <w:color w:val="000000"/>
                <w:sz w:val="30"/>
                <w:szCs w:val="30"/>
                <w:lang w:val="en-US" w:eastAsia="zh-CN"/>
              </w:rPr>
              <w:t>等</w:t>
            </w:r>
            <w:r>
              <w:rPr>
                <w:rFonts w:hint="eastAsia" w:ascii="仿宋" w:hAnsi="仿宋" w:eastAsia="仿宋" w:cs="仿宋"/>
                <w:color w:val="000000"/>
                <w:sz w:val="30"/>
                <w:szCs w:val="30"/>
                <w:lang w:eastAsia="zh-CN"/>
              </w:rPr>
              <w:t>质控中心</w:t>
            </w:r>
          </w:p>
        </w:tc>
      </w:tr>
      <w:tr>
        <w:tblPrEx>
          <w:tblCellMar>
            <w:top w:w="0" w:type="dxa"/>
            <w:left w:w="108" w:type="dxa"/>
            <w:bottom w:w="0" w:type="dxa"/>
            <w:right w:w="108" w:type="dxa"/>
          </w:tblCellMar>
        </w:tblPrEx>
        <w:trPr>
          <w:trHeight w:val="600" w:hRule="atLeast"/>
        </w:trPr>
        <w:tc>
          <w:tcPr>
            <w:tcW w:w="995" w:type="dxa"/>
            <w:tcBorders>
              <w:top w:val="nil"/>
              <w:left w:val="single" w:color="000000" w:sz="8" w:space="0"/>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16</w:t>
            </w:r>
          </w:p>
        </w:tc>
        <w:tc>
          <w:tcPr>
            <w:tcW w:w="2490" w:type="dxa"/>
            <w:vMerge w:val="continue"/>
            <w:tcBorders>
              <w:top w:val="single" w:color="000000" w:sz="8" w:space="0"/>
              <w:left w:val="nil"/>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p>
        </w:tc>
        <w:tc>
          <w:tcPr>
            <w:tcW w:w="5039" w:type="dxa"/>
            <w:tcBorders>
              <w:top w:val="nil"/>
              <w:left w:val="nil"/>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r>
              <w:rPr>
                <w:rFonts w:hint="default" w:ascii="仿宋" w:hAnsi="仿宋" w:eastAsia="仿宋" w:cs="仿宋"/>
                <w:color w:val="000000"/>
                <w:sz w:val="30"/>
                <w:szCs w:val="30"/>
                <w:lang w:eastAsia="zh-CN"/>
              </w:rPr>
              <w:t>4.2</w:t>
            </w:r>
            <w:r>
              <w:rPr>
                <w:rFonts w:hint="eastAsia" w:ascii="仿宋" w:hAnsi="仿宋" w:eastAsia="仿宋" w:cs="仿宋"/>
                <w:color w:val="000000"/>
                <w:sz w:val="30"/>
                <w:szCs w:val="30"/>
                <w:lang w:val="en-US" w:eastAsia="zh-CN"/>
              </w:rPr>
              <w:t xml:space="preserve"> </w:t>
            </w:r>
            <w:r>
              <w:rPr>
                <w:rFonts w:hint="default" w:ascii="仿宋" w:hAnsi="仿宋" w:eastAsia="仿宋" w:cs="仿宋"/>
                <w:color w:val="000000"/>
                <w:sz w:val="30"/>
                <w:szCs w:val="30"/>
                <w:lang w:eastAsia="zh-CN"/>
              </w:rPr>
              <w:t>营养风险筛查率</w:t>
            </w:r>
          </w:p>
        </w:tc>
        <w:tc>
          <w:tcPr>
            <w:tcW w:w="1529" w:type="dxa"/>
            <w:tcBorders>
              <w:top w:val="nil"/>
              <w:left w:val="nil"/>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r>
              <w:rPr>
                <w:rFonts w:hint="default" w:ascii="仿宋" w:hAnsi="仿宋" w:eastAsia="仿宋" w:cs="仿宋"/>
                <w:color w:val="000000"/>
                <w:sz w:val="30"/>
                <w:szCs w:val="30"/>
                <w:lang w:eastAsia="zh-CN"/>
              </w:rPr>
              <w:t>逐步升高</w:t>
            </w:r>
          </w:p>
        </w:tc>
        <w:tc>
          <w:tcPr>
            <w:tcW w:w="4772" w:type="dxa"/>
            <w:tcBorders>
              <w:top w:val="nil"/>
              <w:left w:val="nil"/>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临床营养</w:t>
            </w:r>
            <w:r>
              <w:rPr>
                <w:rFonts w:hint="eastAsia" w:ascii="仿宋" w:hAnsi="仿宋" w:eastAsia="仿宋" w:cs="仿宋"/>
                <w:color w:val="000000"/>
                <w:sz w:val="30"/>
                <w:szCs w:val="30"/>
                <w:lang w:val="en-US" w:eastAsia="zh-CN"/>
              </w:rPr>
              <w:t>等</w:t>
            </w:r>
            <w:r>
              <w:rPr>
                <w:rFonts w:hint="eastAsia" w:ascii="仿宋" w:hAnsi="仿宋" w:eastAsia="仿宋" w:cs="仿宋"/>
                <w:color w:val="000000"/>
                <w:sz w:val="30"/>
                <w:szCs w:val="30"/>
                <w:lang w:eastAsia="zh-CN"/>
              </w:rPr>
              <w:t>质控中心</w:t>
            </w:r>
          </w:p>
        </w:tc>
      </w:tr>
      <w:tr>
        <w:tblPrEx>
          <w:tblCellMar>
            <w:top w:w="0" w:type="dxa"/>
            <w:left w:w="108" w:type="dxa"/>
            <w:bottom w:w="0" w:type="dxa"/>
            <w:right w:w="108" w:type="dxa"/>
          </w:tblCellMar>
        </w:tblPrEx>
        <w:trPr>
          <w:trHeight w:val="600" w:hRule="atLeast"/>
        </w:trPr>
        <w:tc>
          <w:tcPr>
            <w:tcW w:w="995" w:type="dxa"/>
            <w:tcBorders>
              <w:top w:val="nil"/>
              <w:left w:val="single" w:color="000000" w:sz="8" w:space="0"/>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17</w:t>
            </w:r>
          </w:p>
        </w:tc>
        <w:tc>
          <w:tcPr>
            <w:tcW w:w="2490" w:type="dxa"/>
            <w:vMerge w:val="continue"/>
            <w:tcBorders>
              <w:top w:val="single" w:color="000000" w:sz="8" w:space="0"/>
              <w:left w:val="nil"/>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p>
        </w:tc>
        <w:tc>
          <w:tcPr>
            <w:tcW w:w="5039" w:type="dxa"/>
            <w:tcBorders>
              <w:top w:val="nil"/>
              <w:left w:val="nil"/>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r>
              <w:rPr>
                <w:rFonts w:hint="default" w:ascii="仿宋" w:hAnsi="仿宋" w:eastAsia="仿宋" w:cs="仿宋"/>
                <w:color w:val="000000"/>
                <w:sz w:val="30"/>
                <w:szCs w:val="30"/>
                <w:lang w:eastAsia="zh-CN"/>
              </w:rPr>
              <w:t>4.3</w:t>
            </w:r>
            <w:r>
              <w:rPr>
                <w:rFonts w:hint="eastAsia" w:ascii="仿宋" w:hAnsi="仿宋" w:eastAsia="仿宋" w:cs="仿宋"/>
                <w:color w:val="000000"/>
                <w:sz w:val="30"/>
                <w:szCs w:val="30"/>
                <w:lang w:val="en-US" w:eastAsia="zh-CN"/>
              </w:rPr>
              <w:t xml:space="preserve"> </w:t>
            </w:r>
            <w:r>
              <w:rPr>
                <w:rFonts w:hint="default" w:ascii="仿宋" w:hAnsi="仿宋" w:eastAsia="仿宋" w:cs="仿宋"/>
                <w:color w:val="000000"/>
                <w:sz w:val="30"/>
                <w:szCs w:val="30"/>
                <w:lang w:eastAsia="zh-CN"/>
              </w:rPr>
              <w:t>疼痛评估规范率</w:t>
            </w:r>
          </w:p>
        </w:tc>
        <w:tc>
          <w:tcPr>
            <w:tcW w:w="1529" w:type="dxa"/>
            <w:tcBorders>
              <w:top w:val="nil"/>
              <w:left w:val="nil"/>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r>
              <w:rPr>
                <w:rFonts w:hint="default" w:ascii="仿宋" w:hAnsi="仿宋" w:eastAsia="仿宋" w:cs="仿宋"/>
                <w:color w:val="000000"/>
                <w:sz w:val="30"/>
                <w:szCs w:val="30"/>
                <w:lang w:eastAsia="zh-CN"/>
              </w:rPr>
              <w:t>逐步升高</w:t>
            </w:r>
          </w:p>
        </w:tc>
        <w:tc>
          <w:tcPr>
            <w:tcW w:w="4772" w:type="dxa"/>
            <w:tcBorders>
              <w:top w:val="nil"/>
              <w:left w:val="nil"/>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疼痛</w:t>
            </w:r>
            <w:r>
              <w:rPr>
                <w:rFonts w:hint="eastAsia" w:ascii="仿宋" w:hAnsi="仿宋" w:eastAsia="仿宋" w:cs="仿宋"/>
                <w:color w:val="000000"/>
                <w:sz w:val="30"/>
                <w:szCs w:val="30"/>
                <w:lang w:val="en-US" w:eastAsia="zh-CN"/>
              </w:rPr>
              <w:t>等</w:t>
            </w:r>
            <w:r>
              <w:rPr>
                <w:rFonts w:hint="eastAsia" w:ascii="仿宋" w:hAnsi="仿宋" w:eastAsia="仿宋" w:cs="仿宋"/>
                <w:color w:val="000000"/>
                <w:sz w:val="30"/>
                <w:szCs w:val="30"/>
                <w:lang w:eastAsia="zh-CN"/>
              </w:rPr>
              <w:t>质控中心</w:t>
            </w:r>
          </w:p>
        </w:tc>
      </w:tr>
      <w:tr>
        <w:tblPrEx>
          <w:tblCellMar>
            <w:top w:w="0" w:type="dxa"/>
            <w:left w:w="108" w:type="dxa"/>
            <w:bottom w:w="0" w:type="dxa"/>
            <w:right w:w="108" w:type="dxa"/>
          </w:tblCellMar>
        </w:tblPrEx>
        <w:trPr>
          <w:trHeight w:val="600" w:hRule="atLeast"/>
        </w:trPr>
        <w:tc>
          <w:tcPr>
            <w:tcW w:w="995" w:type="dxa"/>
            <w:tcBorders>
              <w:top w:val="nil"/>
              <w:left w:val="single" w:color="000000" w:sz="8" w:space="0"/>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18</w:t>
            </w:r>
          </w:p>
        </w:tc>
        <w:tc>
          <w:tcPr>
            <w:tcW w:w="2490" w:type="dxa"/>
            <w:vMerge w:val="continue"/>
            <w:tcBorders>
              <w:top w:val="single" w:color="000000" w:sz="8" w:space="0"/>
              <w:left w:val="nil"/>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p>
        </w:tc>
        <w:tc>
          <w:tcPr>
            <w:tcW w:w="5039" w:type="dxa"/>
            <w:tcBorders>
              <w:top w:val="nil"/>
              <w:left w:val="nil"/>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r>
              <w:rPr>
                <w:rFonts w:hint="default" w:ascii="仿宋" w:hAnsi="仿宋" w:eastAsia="仿宋" w:cs="仿宋"/>
                <w:color w:val="000000"/>
                <w:sz w:val="30"/>
                <w:szCs w:val="30"/>
                <w:lang w:eastAsia="zh-CN"/>
              </w:rPr>
              <w:t>4.4</w:t>
            </w:r>
            <w:r>
              <w:rPr>
                <w:rFonts w:hint="eastAsia" w:ascii="仿宋" w:hAnsi="仿宋" w:eastAsia="仿宋" w:cs="仿宋"/>
                <w:color w:val="000000"/>
                <w:sz w:val="30"/>
                <w:szCs w:val="30"/>
                <w:lang w:val="en-US" w:eastAsia="zh-CN"/>
              </w:rPr>
              <w:t xml:space="preserve"> </w:t>
            </w:r>
            <w:r>
              <w:rPr>
                <w:rFonts w:hint="default" w:ascii="仿宋" w:hAnsi="仿宋" w:eastAsia="仿宋" w:cs="仿宋"/>
                <w:color w:val="000000"/>
                <w:sz w:val="30"/>
                <w:szCs w:val="30"/>
                <w:lang w:eastAsia="zh-CN"/>
              </w:rPr>
              <w:t>门诊和住院处方审核率</w:t>
            </w:r>
          </w:p>
        </w:tc>
        <w:tc>
          <w:tcPr>
            <w:tcW w:w="1529" w:type="dxa"/>
            <w:tcBorders>
              <w:top w:val="nil"/>
              <w:left w:val="nil"/>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r>
              <w:rPr>
                <w:rFonts w:hint="default" w:ascii="仿宋" w:hAnsi="仿宋" w:eastAsia="仿宋" w:cs="仿宋"/>
                <w:color w:val="000000"/>
                <w:sz w:val="30"/>
                <w:szCs w:val="30"/>
                <w:lang w:eastAsia="zh-CN"/>
              </w:rPr>
              <w:t>逐步升高</w:t>
            </w:r>
          </w:p>
        </w:tc>
        <w:tc>
          <w:tcPr>
            <w:tcW w:w="4772" w:type="dxa"/>
            <w:vMerge w:val="restart"/>
            <w:tcBorders>
              <w:top w:val="nil"/>
              <w:left w:val="nil"/>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临床药学、</w:t>
            </w:r>
            <w:r>
              <w:rPr>
                <w:rFonts w:hint="eastAsia" w:ascii="仿宋" w:hAnsi="仿宋" w:eastAsia="仿宋" w:cs="仿宋"/>
                <w:color w:val="000000"/>
                <w:sz w:val="30"/>
                <w:szCs w:val="30"/>
                <w:lang w:val="en-US" w:eastAsia="zh-CN"/>
              </w:rPr>
              <w:t>门诊等</w:t>
            </w:r>
            <w:r>
              <w:rPr>
                <w:rFonts w:hint="eastAsia" w:ascii="仿宋" w:hAnsi="仿宋" w:eastAsia="仿宋" w:cs="仿宋"/>
                <w:color w:val="000000"/>
                <w:sz w:val="30"/>
                <w:szCs w:val="30"/>
                <w:lang w:eastAsia="zh-CN"/>
              </w:rPr>
              <w:t>质控中心</w:t>
            </w:r>
          </w:p>
        </w:tc>
      </w:tr>
      <w:tr>
        <w:tblPrEx>
          <w:tblCellMar>
            <w:top w:w="0" w:type="dxa"/>
            <w:left w:w="108" w:type="dxa"/>
            <w:bottom w:w="0" w:type="dxa"/>
            <w:right w:w="108" w:type="dxa"/>
          </w:tblCellMar>
        </w:tblPrEx>
        <w:trPr>
          <w:trHeight w:val="600" w:hRule="atLeast"/>
        </w:trPr>
        <w:tc>
          <w:tcPr>
            <w:tcW w:w="995" w:type="dxa"/>
            <w:tcBorders>
              <w:top w:val="nil"/>
              <w:left w:val="single" w:color="000000" w:sz="8" w:space="0"/>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19</w:t>
            </w:r>
          </w:p>
        </w:tc>
        <w:tc>
          <w:tcPr>
            <w:tcW w:w="2490" w:type="dxa"/>
            <w:vMerge w:val="continue"/>
            <w:tcBorders>
              <w:top w:val="single" w:color="000000" w:sz="8" w:space="0"/>
              <w:left w:val="nil"/>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p>
        </w:tc>
        <w:tc>
          <w:tcPr>
            <w:tcW w:w="5039" w:type="dxa"/>
            <w:tcBorders>
              <w:top w:val="nil"/>
              <w:left w:val="nil"/>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r>
              <w:rPr>
                <w:rFonts w:hint="default" w:ascii="仿宋" w:hAnsi="仿宋" w:eastAsia="仿宋" w:cs="仿宋"/>
                <w:color w:val="000000"/>
                <w:sz w:val="30"/>
                <w:szCs w:val="30"/>
                <w:lang w:eastAsia="zh-CN"/>
              </w:rPr>
              <w:t>4.5</w:t>
            </w:r>
            <w:r>
              <w:rPr>
                <w:rFonts w:hint="eastAsia" w:ascii="仿宋" w:hAnsi="仿宋" w:eastAsia="仿宋" w:cs="仿宋"/>
                <w:color w:val="000000"/>
                <w:sz w:val="30"/>
                <w:szCs w:val="30"/>
                <w:lang w:val="en-US" w:eastAsia="zh-CN"/>
              </w:rPr>
              <w:t xml:space="preserve"> </w:t>
            </w:r>
            <w:r>
              <w:rPr>
                <w:rFonts w:hint="default" w:ascii="仿宋" w:hAnsi="仿宋" w:eastAsia="仿宋" w:cs="仿宋"/>
                <w:color w:val="000000"/>
                <w:sz w:val="30"/>
                <w:szCs w:val="30"/>
                <w:lang w:eastAsia="zh-CN"/>
              </w:rPr>
              <w:t>门诊和住院处方审核合格率</w:t>
            </w:r>
          </w:p>
        </w:tc>
        <w:tc>
          <w:tcPr>
            <w:tcW w:w="1529" w:type="dxa"/>
            <w:tcBorders>
              <w:top w:val="nil"/>
              <w:left w:val="nil"/>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r>
              <w:rPr>
                <w:rFonts w:hint="default" w:ascii="仿宋" w:hAnsi="仿宋" w:eastAsia="仿宋" w:cs="仿宋"/>
                <w:color w:val="000000"/>
                <w:sz w:val="30"/>
                <w:szCs w:val="30"/>
                <w:lang w:eastAsia="zh-CN"/>
              </w:rPr>
              <w:t>逐步升高</w:t>
            </w:r>
          </w:p>
        </w:tc>
        <w:tc>
          <w:tcPr>
            <w:tcW w:w="4772" w:type="dxa"/>
            <w:vMerge w:val="continue"/>
            <w:tcBorders>
              <w:top w:val="nil"/>
              <w:left w:val="nil"/>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p>
        </w:tc>
      </w:tr>
      <w:tr>
        <w:tblPrEx>
          <w:tblCellMar>
            <w:top w:w="0" w:type="dxa"/>
            <w:left w:w="108" w:type="dxa"/>
            <w:bottom w:w="0" w:type="dxa"/>
            <w:right w:w="108" w:type="dxa"/>
          </w:tblCellMar>
        </w:tblPrEx>
        <w:trPr>
          <w:trHeight w:val="726" w:hRule="atLeast"/>
        </w:trPr>
        <w:tc>
          <w:tcPr>
            <w:tcW w:w="995" w:type="dxa"/>
            <w:tcBorders>
              <w:top w:val="nil"/>
              <w:left w:val="single" w:color="000000" w:sz="8" w:space="0"/>
              <w:bottom w:val="single" w:color="auto" w:sz="4"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20</w:t>
            </w:r>
          </w:p>
        </w:tc>
        <w:tc>
          <w:tcPr>
            <w:tcW w:w="2490" w:type="dxa"/>
            <w:vMerge w:val="continue"/>
            <w:tcBorders>
              <w:top w:val="single" w:color="000000" w:sz="8" w:space="0"/>
              <w:left w:val="nil"/>
              <w:bottom w:val="single" w:color="auto" w:sz="4"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p>
        </w:tc>
        <w:tc>
          <w:tcPr>
            <w:tcW w:w="5039" w:type="dxa"/>
            <w:tcBorders>
              <w:top w:val="nil"/>
              <w:left w:val="nil"/>
              <w:bottom w:val="single" w:color="auto" w:sz="4"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r>
              <w:rPr>
                <w:rFonts w:hint="default" w:ascii="仿宋" w:hAnsi="仿宋" w:eastAsia="仿宋" w:cs="仿宋"/>
                <w:color w:val="000000"/>
                <w:sz w:val="30"/>
                <w:szCs w:val="30"/>
                <w:lang w:eastAsia="zh-CN"/>
              </w:rPr>
              <w:t>4.6</w:t>
            </w:r>
            <w:r>
              <w:rPr>
                <w:rFonts w:hint="eastAsia" w:ascii="仿宋" w:hAnsi="仿宋" w:eastAsia="仿宋" w:cs="仿宋"/>
                <w:color w:val="000000"/>
                <w:sz w:val="30"/>
                <w:szCs w:val="30"/>
                <w:lang w:val="en-US" w:eastAsia="zh-CN"/>
              </w:rPr>
              <w:t xml:space="preserve"> </w:t>
            </w:r>
            <w:r>
              <w:rPr>
                <w:rFonts w:hint="default" w:ascii="仿宋" w:hAnsi="仿宋" w:eastAsia="仿宋" w:cs="仿宋"/>
                <w:color w:val="000000"/>
                <w:sz w:val="30"/>
                <w:szCs w:val="30"/>
                <w:lang w:eastAsia="zh-CN"/>
              </w:rPr>
              <w:t>住院患者静脉输液规范使用率</w:t>
            </w:r>
          </w:p>
        </w:tc>
        <w:tc>
          <w:tcPr>
            <w:tcW w:w="1529" w:type="dxa"/>
            <w:tcBorders>
              <w:top w:val="nil"/>
              <w:left w:val="nil"/>
              <w:bottom w:val="single" w:color="auto" w:sz="4"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r>
              <w:rPr>
                <w:rFonts w:hint="default" w:ascii="仿宋" w:hAnsi="仿宋" w:eastAsia="仿宋" w:cs="仿宋"/>
                <w:color w:val="000000"/>
                <w:sz w:val="30"/>
                <w:szCs w:val="30"/>
                <w:lang w:eastAsia="zh-CN"/>
              </w:rPr>
              <w:t>逐步升高</w:t>
            </w:r>
          </w:p>
        </w:tc>
        <w:tc>
          <w:tcPr>
            <w:tcW w:w="4772" w:type="dxa"/>
            <w:vMerge w:val="continue"/>
            <w:tcBorders>
              <w:top w:val="nil"/>
              <w:left w:val="nil"/>
              <w:bottom w:val="single" w:color="auto" w:sz="4"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p>
        </w:tc>
      </w:tr>
      <w:tr>
        <w:tblPrEx>
          <w:tblCellMar>
            <w:top w:w="0" w:type="dxa"/>
            <w:left w:w="108" w:type="dxa"/>
            <w:bottom w:w="0" w:type="dxa"/>
            <w:right w:w="108" w:type="dxa"/>
          </w:tblCellMar>
        </w:tblPrEx>
        <w:trPr>
          <w:trHeight w:val="1556" w:hRule="atLeast"/>
        </w:trPr>
        <w:tc>
          <w:tcPr>
            <w:tcW w:w="995"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21</w:t>
            </w:r>
          </w:p>
        </w:tc>
        <w:tc>
          <w:tcPr>
            <w:tcW w:w="2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仿宋" w:hAnsi="仿宋" w:eastAsia="仿宋" w:cs="仿宋"/>
                <w:color w:val="000000"/>
                <w:sz w:val="30"/>
                <w:szCs w:val="30"/>
                <w:lang w:eastAsia="zh-CN"/>
              </w:rPr>
            </w:pPr>
          </w:p>
        </w:tc>
        <w:tc>
          <w:tcPr>
            <w:tcW w:w="5039"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default" w:ascii="仿宋" w:hAnsi="仿宋" w:eastAsia="仿宋" w:cs="仿宋"/>
                <w:color w:val="000000"/>
                <w:sz w:val="30"/>
                <w:szCs w:val="30"/>
                <w:lang w:eastAsia="zh-CN"/>
              </w:rPr>
            </w:pPr>
            <w:r>
              <w:rPr>
                <w:rFonts w:hint="default" w:ascii="仿宋" w:hAnsi="仿宋" w:eastAsia="仿宋" w:cs="仿宋"/>
                <w:color w:val="000000"/>
                <w:sz w:val="30"/>
                <w:szCs w:val="30"/>
                <w:lang w:eastAsia="zh-CN"/>
              </w:rPr>
              <w:t>4.7</w:t>
            </w:r>
            <w:r>
              <w:rPr>
                <w:rFonts w:hint="eastAsia" w:ascii="仿宋" w:hAnsi="仿宋" w:eastAsia="仿宋" w:cs="仿宋"/>
                <w:color w:val="000000"/>
                <w:sz w:val="30"/>
                <w:szCs w:val="30"/>
                <w:lang w:val="en-US" w:eastAsia="zh-CN"/>
              </w:rPr>
              <w:t xml:space="preserve"> </w:t>
            </w:r>
            <w:r>
              <w:rPr>
                <w:rFonts w:hint="default" w:ascii="仿宋" w:hAnsi="仿宋" w:eastAsia="仿宋" w:cs="仿宋"/>
                <w:color w:val="000000"/>
                <w:sz w:val="30"/>
                <w:szCs w:val="30"/>
                <w:lang w:eastAsia="zh-CN"/>
              </w:rPr>
              <w:t>危急值报告及时率和危急值处置</w:t>
            </w:r>
          </w:p>
          <w:p>
            <w:pPr>
              <w:widowControl/>
              <w:ind w:firstLine="600" w:firstLineChars="200"/>
              <w:textAlignment w:val="center"/>
              <w:rPr>
                <w:rFonts w:hint="eastAsia" w:ascii="仿宋" w:hAnsi="仿宋" w:eastAsia="仿宋" w:cs="仿宋"/>
                <w:color w:val="000000"/>
                <w:sz w:val="30"/>
                <w:szCs w:val="30"/>
                <w:lang w:eastAsia="zh-CN"/>
              </w:rPr>
            </w:pPr>
            <w:r>
              <w:rPr>
                <w:rFonts w:hint="default" w:ascii="仿宋" w:hAnsi="仿宋" w:eastAsia="仿宋" w:cs="仿宋"/>
                <w:color w:val="000000"/>
                <w:sz w:val="30"/>
                <w:szCs w:val="30"/>
                <w:lang w:eastAsia="zh-CN"/>
              </w:rPr>
              <w:t>及时率</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仿宋" w:hAnsi="仿宋" w:eastAsia="仿宋" w:cs="仿宋"/>
                <w:color w:val="000000"/>
                <w:sz w:val="30"/>
                <w:szCs w:val="30"/>
                <w:lang w:eastAsia="zh-CN"/>
              </w:rPr>
            </w:pPr>
            <w:r>
              <w:rPr>
                <w:rFonts w:hint="default" w:ascii="仿宋" w:hAnsi="仿宋" w:eastAsia="仿宋" w:cs="仿宋"/>
                <w:color w:val="000000"/>
                <w:sz w:val="30"/>
                <w:szCs w:val="30"/>
                <w:lang w:eastAsia="zh-CN"/>
              </w:rPr>
              <w:t>逐步升高</w:t>
            </w:r>
          </w:p>
        </w:tc>
        <w:tc>
          <w:tcPr>
            <w:tcW w:w="4772"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卫生健康行政部门</w:t>
            </w:r>
          </w:p>
          <w:p>
            <w:pPr>
              <w:widowControl/>
              <w:textAlignment w:val="center"/>
              <w:rPr>
                <w:rFonts w:hint="default"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临床检验、放射影像、超声、病理等质控中心</w:t>
            </w:r>
          </w:p>
        </w:tc>
      </w:tr>
      <w:tr>
        <w:tblPrEx>
          <w:tblCellMar>
            <w:top w:w="0" w:type="dxa"/>
            <w:left w:w="108" w:type="dxa"/>
            <w:bottom w:w="0" w:type="dxa"/>
            <w:right w:w="108" w:type="dxa"/>
          </w:tblCellMar>
        </w:tblPrEx>
        <w:trPr>
          <w:trHeight w:val="1015" w:hRule="atLeast"/>
        </w:trPr>
        <w:tc>
          <w:tcPr>
            <w:tcW w:w="995" w:type="dxa"/>
            <w:tcBorders>
              <w:top w:val="single" w:color="auto" w:sz="4" w:space="0"/>
              <w:left w:val="single" w:color="000000" w:sz="8" w:space="0"/>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22</w:t>
            </w:r>
          </w:p>
        </w:tc>
        <w:tc>
          <w:tcPr>
            <w:tcW w:w="2490" w:type="dxa"/>
            <w:vMerge w:val="continue"/>
            <w:tcBorders>
              <w:top w:val="single" w:color="auto" w:sz="4" w:space="0"/>
              <w:left w:val="nil"/>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p>
        </w:tc>
        <w:tc>
          <w:tcPr>
            <w:tcW w:w="5039" w:type="dxa"/>
            <w:tcBorders>
              <w:top w:val="single" w:color="auto" w:sz="4" w:space="0"/>
              <w:left w:val="nil"/>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r>
              <w:rPr>
                <w:rFonts w:hint="default" w:ascii="仿宋" w:hAnsi="仿宋" w:eastAsia="仿宋" w:cs="仿宋"/>
                <w:color w:val="000000"/>
                <w:sz w:val="30"/>
                <w:szCs w:val="30"/>
                <w:lang w:eastAsia="zh-CN"/>
              </w:rPr>
              <w:t>4.8</w:t>
            </w:r>
            <w:r>
              <w:rPr>
                <w:rFonts w:hint="eastAsia" w:ascii="仿宋" w:hAnsi="仿宋" w:eastAsia="仿宋" w:cs="仿宋"/>
                <w:color w:val="000000"/>
                <w:sz w:val="30"/>
                <w:szCs w:val="30"/>
                <w:lang w:val="en-US" w:eastAsia="zh-CN"/>
              </w:rPr>
              <w:t xml:space="preserve"> </w:t>
            </w:r>
            <w:r>
              <w:rPr>
                <w:rFonts w:hint="default" w:ascii="仿宋" w:hAnsi="仿宋" w:eastAsia="仿宋" w:cs="仿宋"/>
                <w:color w:val="000000"/>
                <w:sz w:val="30"/>
                <w:szCs w:val="30"/>
                <w:lang w:eastAsia="zh-CN"/>
              </w:rPr>
              <w:t>早期康复介入率</w:t>
            </w:r>
          </w:p>
        </w:tc>
        <w:tc>
          <w:tcPr>
            <w:tcW w:w="1529" w:type="dxa"/>
            <w:tcBorders>
              <w:top w:val="single" w:color="auto" w:sz="4" w:space="0"/>
              <w:left w:val="nil"/>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r>
              <w:rPr>
                <w:rFonts w:hint="default" w:ascii="仿宋" w:hAnsi="仿宋" w:eastAsia="仿宋" w:cs="仿宋"/>
                <w:color w:val="000000"/>
                <w:sz w:val="30"/>
                <w:szCs w:val="30"/>
                <w:lang w:eastAsia="zh-CN"/>
              </w:rPr>
              <w:t>逐步升高</w:t>
            </w:r>
          </w:p>
        </w:tc>
        <w:tc>
          <w:tcPr>
            <w:tcW w:w="4772" w:type="dxa"/>
            <w:tcBorders>
              <w:top w:val="single" w:color="auto" w:sz="4" w:space="0"/>
              <w:left w:val="nil"/>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康复医学、儿童康复、</w:t>
            </w:r>
            <w:r>
              <w:rPr>
                <w:rFonts w:hint="eastAsia" w:ascii="仿宋" w:hAnsi="仿宋" w:eastAsia="仿宋" w:cs="仿宋"/>
                <w:color w:val="000000"/>
                <w:sz w:val="30"/>
                <w:szCs w:val="30"/>
                <w:lang w:val="en-US" w:eastAsia="zh-CN"/>
              </w:rPr>
              <w:t>神经内科、重症医学等</w:t>
            </w:r>
            <w:r>
              <w:rPr>
                <w:rFonts w:hint="eastAsia" w:ascii="仿宋" w:hAnsi="仿宋" w:eastAsia="仿宋" w:cs="仿宋"/>
                <w:color w:val="000000"/>
                <w:sz w:val="30"/>
                <w:szCs w:val="30"/>
                <w:lang w:eastAsia="zh-CN"/>
              </w:rPr>
              <w:t>质控中心</w:t>
            </w:r>
          </w:p>
        </w:tc>
      </w:tr>
      <w:tr>
        <w:tblPrEx>
          <w:tblCellMar>
            <w:top w:w="0" w:type="dxa"/>
            <w:left w:w="108" w:type="dxa"/>
            <w:bottom w:w="0" w:type="dxa"/>
            <w:right w:w="108" w:type="dxa"/>
          </w:tblCellMar>
        </w:tblPrEx>
        <w:trPr>
          <w:trHeight w:val="600" w:hRule="atLeast"/>
        </w:trPr>
        <w:tc>
          <w:tcPr>
            <w:tcW w:w="995" w:type="dxa"/>
            <w:tcBorders>
              <w:top w:val="nil"/>
              <w:left w:val="single" w:color="000000" w:sz="8" w:space="0"/>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23</w:t>
            </w:r>
          </w:p>
        </w:tc>
        <w:tc>
          <w:tcPr>
            <w:tcW w:w="2490" w:type="dxa"/>
            <w:vMerge w:val="continue"/>
            <w:tcBorders>
              <w:top w:val="single" w:color="000000" w:sz="8" w:space="0"/>
              <w:left w:val="nil"/>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p>
        </w:tc>
        <w:tc>
          <w:tcPr>
            <w:tcW w:w="5039" w:type="dxa"/>
            <w:tcBorders>
              <w:top w:val="nil"/>
              <w:left w:val="nil"/>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r>
              <w:rPr>
                <w:rFonts w:hint="default" w:ascii="仿宋" w:hAnsi="仿宋" w:eastAsia="仿宋" w:cs="仿宋"/>
                <w:color w:val="000000"/>
                <w:sz w:val="30"/>
                <w:szCs w:val="30"/>
                <w:lang w:eastAsia="zh-CN"/>
              </w:rPr>
              <w:t>4.9</w:t>
            </w:r>
            <w:r>
              <w:rPr>
                <w:rFonts w:hint="eastAsia" w:ascii="仿宋" w:hAnsi="仿宋" w:eastAsia="仿宋" w:cs="仿宋"/>
                <w:color w:val="000000"/>
                <w:sz w:val="30"/>
                <w:szCs w:val="30"/>
                <w:lang w:val="en-US" w:eastAsia="zh-CN"/>
              </w:rPr>
              <w:t xml:space="preserve"> </w:t>
            </w:r>
            <w:r>
              <w:rPr>
                <w:rFonts w:hint="default" w:ascii="仿宋" w:hAnsi="仿宋" w:eastAsia="仿宋" w:cs="仿宋"/>
                <w:color w:val="000000"/>
                <w:sz w:val="30"/>
                <w:szCs w:val="30"/>
                <w:lang w:eastAsia="zh-CN"/>
              </w:rPr>
              <w:t>室间质评项目合格率</w:t>
            </w:r>
          </w:p>
        </w:tc>
        <w:tc>
          <w:tcPr>
            <w:tcW w:w="1529" w:type="dxa"/>
            <w:tcBorders>
              <w:top w:val="nil"/>
              <w:left w:val="nil"/>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r>
              <w:rPr>
                <w:rFonts w:hint="default" w:ascii="仿宋" w:hAnsi="仿宋" w:eastAsia="仿宋" w:cs="仿宋"/>
                <w:color w:val="000000"/>
                <w:sz w:val="30"/>
                <w:szCs w:val="30"/>
                <w:lang w:eastAsia="zh-CN"/>
              </w:rPr>
              <w:t>逐步升高</w:t>
            </w:r>
          </w:p>
        </w:tc>
        <w:tc>
          <w:tcPr>
            <w:tcW w:w="4772" w:type="dxa"/>
            <w:tcBorders>
              <w:top w:val="nil"/>
              <w:left w:val="nil"/>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临床检验、病理、临床用血、</w:t>
            </w:r>
          </w:p>
          <w:p>
            <w:pPr>
              <w:widowControl/>
              <w:textAlignment w:val="center"/>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核医学等质控中心</w:t>
            </w:r>
          </w:p>
        </w:tc>
      </w:tr>
      <w:tr>
        <w:tblPrEx>
          <w:tblCellMar>
            <w:top w:w="0" w:type="dxa"/>
            <w:left w:w="108" w:type="dxa"/>
            <w:bottom w:w="0" w:type="dxa"/>
            <w:right w:w="108" w:type="dxa"/>
          </w:tblCellMar>
        </w:tblPrEx>
        <w:trPr>
          <w:trHeight w:val="600" w:hRule="atLeast"/>
        </w:trPr>
        <w:tc>
          <w:tcPr>
            <w:tcW w:w="995" w:type="dxa"/>
            <w:tcBorders>
              <w:top w:val="single" w:color="000000" w:sz="8" w:space="0"/>
              <w:left w:val="single" w:color="000000" w:sz="8" w:space="0"/>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24</w:t>
            </w:r>
          </w:p>
        </w:tc>
        <w:tc>
          <w:tcPr>
            <w:tcW w:w="2490"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p>
        </w:tc>
        <w:tc>
          <w:tcPr>
            <w:tcW w:w="5039" w:type="dxa"/>
            <w:tcBorders>
              <w:top w:val="single" w:color="000000" w:sz="8" w:space="0"/>
              <w:left w:val="single" w:color="000000" w:sz="8" w:space="0"/>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r>
              <w:rPr>
                <w:rFonts w:hint="default" w:ascii="仿宋" w:hAnsi="仿宋" w:eastAsia="仿宋" w:cs="仿宋"/>
                <w:color w:val="000000"/>
                <w:sz w:val="30"/>
                <w:szCs w:val="30"/>
                <w:lang w:eastAsia="zh-CN"/>
              </w:rPr>
              <w:t>4.10</w:t>
            </w:r>
            <w:r>
              <w:rPr>
                <w:rFonts w:hint="eastAsia" w:ascii="仿宋" w:hAnsi="仿宋" w:eastAsia="仿宋" w:cs="仿宋"/>
                <w:color w:val="000000"/>
                <w:sz w:val="30"/>
                <w:szCs w:val="30"/>
                <w:lang w:val="en-US" w:eastAsia="zh-CN"/>
              </w:rPr>
              <w:t xml:space="preserve"> </w:t>
            </w:r>
            <w:r>
              <w:rPr>
                <w:rFonts w:hint="default" w:ascii="仿宋" w:hAnsi="仿宋" w:eastAsia="仿宋" w:cs="仿宋"/>
                <w:color w:val="000000"/>
                <w:sz w:val="30"/>
                <w:szCs w:val="30"/>
                <w:lang w:eastAsia="zh-CN"/>
              </w:rPr>
              <w:t>四级手术患者随访率</w:t>
            </w:r>
          </w:p>
        </w:tc>
        <w:tc>
          <w:tcPr>
            <w:tcW w:w="1529" w:type="dxa"/>
            <w:tcBorders>
              <w:top w:val="single" w:color="000000" w:sz="8" w:space="0"/>
              <w:left w:val="single" w:color="000000" w:sz="8" w:space="0"/>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r>
              <w:rPr>
                <w:rFonts w:hint="default" w:ascii="仿宋" w:hAnsi="仿宋" w:eastAsia="仿宋" w:cs="仿宋"/>
                <w:color w:val="000000"/>
                <w:sz w:val="30"/>
                <w:szCs w:val="30"/>
                <w:lang w:eastAsia="zh-CN"/>
              </w:rPr>
              <w:t>逐步升高</w:t>
            </w:r>
          </w:p>
        </w:tc>
        <w:tc>
          <w:tcPr>
            <w:tcW w:w="4772" w:type="dxa"/>
            <w:tcBorders>
              <w:top w:val="single" w:color="000000" w:sz="8" w:space="0"/>
              <w:left w:val="single" w:color="000000" w:sz="8" w:space="0"/>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卫生健康行政部门</w:t>
            </w:r>
          </w:p>
          <w:p>
            <w:pPr>
              <w:widowControl/>
              <w:textAlignment w:val="center"/>
              <w:rPr>
                <w:rFonts w:hint="default"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相关专业质控中心</w:t>
            </w:r>
          </w:p>
        </w:tc>
      </w:tr>
      <w:tr>
        <w:tblPrEx>
          <w:tblCellMar>
            <w:top w:w="0" w:type="dxa"/>
            <w:left w:w="108" w:type="dxa"/>
            <w:bottom w:w="0" w:type="dxa"/>
            <w:right w:w="108" w:type="dxa"/>
          </w:tblCellMar>
        </w:tblPrEx>
        <w:trPr>
          <w:trHeight w:val="922" w:hRule="atLeast"/>
        </w:trPr>
        <w:tc>
          <w:tcPr>
            <w:tcW w:w="995" w:type="dxa"/>
            <w:tcBorders>
              <w:top w:val="single" w:color="000000" w:sz="8" w:space="0"/>
              <w:left w:val="single" w:color="000000" w:sz="8" w:space="0"/>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25</w:t>
            </w:r>
          </w:p>
        </w:tc>
        <w:tc>
          <w:tcPr>
            <w:tcW w:w="2490" w:type="dxa"/>
            <w:vMerge w:val="continue"/>
            <w:tcBorders>
              <w:top w:val="single" w:color="000000" w:sz="8" w:space="0"/>
              <w:left w:val="nil"/>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p>
        </w:tc>
        <w:tc>
          <w:tcPr>
            <w:tcW w:w="5039" w:type="dxa"/>
            <w:tcBorders>
              <w:top w:val="single" w:color="000000" w:sz="8" w:space="0"/>
              <w:left w:val="nil"/>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r>
              <w:rPr>
                <w:rFonts w:hint="default" w:ascii="仿宋" w:hAnsi="仿宋" w:eastAsia="仿宋" w:cs="仿宋"/>
                <w:color w:val="000000"/>
                <w:sz w:val="30"/>
                <w:szCs w:val="30"/>
                <w:lang w:eastAsia="zh-CN"/>
              </w:rPr>
              <w:t>4.11恶性肿瘤患者随访率</w:t>
            </w:r>
          </w:p>
        </w:tc>
        <w:tc>
          <w:tcPr>
            <w:tcW w:w="1529" w:type="dxa"/>
            <w:tcBorders>
              <w:top w:val="single" w:color="000000" w:sz="8" w:space="0"/>
              <w:left w:val="nil"/>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r>
              <w:rPr>
                <w:rFonts w:hint="default" w:ascii="仿宋" w:hAnsi="仿宋" w:eastAsia="仿宋" w:cs="仿宋"/>
                <w:color w:val="000000"/>
                <w:sz w:val="30"/>
                <w:szCs w:val="30"/>
                <w:lang w:eastAsia="zh-CN"/>
              </w:rPr>
              <w:t>逐步升高</w:t>
            </w:r>
          </w:p>
        </w:tc>
        <w:tc>
          <w:tcPr>
            <w:tcW w:w="4772" w:type="dxa"/>
            <w:tcBorders>
              <w:top w:val="single" w:color="000000" w:sz="8" w:space="0"/>
              <w:left w:val="nil"/>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肿瘤、妇科、胸外科、普通外科</w:t>
            </w:r>
            <w:r>
              <w:rPr>
                <w:rFonts w:hint="eastAsia" w:ascii="仿宋" w:hAnsi="仿宋" w:eastAsia="仿宋" w:cs="仿宋"/>
                <w:color w:val="000000"/>
                <w:sz w:val="30"/>
                <w:szCs w:val="30"/>
                <w:lang w:val="en-US" w:eastAsia="zh-CN"/>
              </w:rPr>
              <w:t>等</w:t>
            </w:r>
            <w:r>
              <w:rPr>
                <w:rFonts w:hint="eastAsia" w:ascii="仿宋" w:hAnsi="仿宋" w:eastAsia="仿宋" w:cs="仿宋"/>
                <w:color w:val="000000"/>
                <w:sz w:val="30"/>
                <w:szCs w:val="30"/>
                <w:lang w:eastAsia="zh-CN"/>
              </w:rPr>
              <w:t>质控中心</w:t>
            </w:r>
          </w:p>
        </w:tc>
      </w:tr>
      <w:tr>
        <w:tblPrEx>
          <w:tblCellMar>
            <w:top w:w="0" w:type="dxa"/>
            <w:left w:w="108" w:type="dxa"/>
            <w:bottom w:w="0" w:type="dxa"/>
            <w:right w:w="108" w:type="dxa"/>
          </w:tblCellMar>
        </w:tblPrEx>
        <w:trPr>
          <w:trHeight w:val="1000" w:hRule="atLeast"/>
        </w:trPr>
        <w:tc>
          <w:tcPr>
            <w:tcW w:w="995" w:type="dxa"/>
            <w:tcBorders>
              <w:top w:val="nil"/>
              <w:left w:val="single" w:color="000000" w:sz="8" w:space="0"/>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26</w:t>
            </w:r>
          </w:p>
        </w:tc>
        <w:tc>
          <w:tcPr>
            <w:tcW w:w="2490" w:type="dxa"/>
            <w:vMerge w:val="continue"/>
            <w:tcBorders>
              <w:top w:val="single" w:color="000000" w:sz="8" w:space="0"/>
              <w:left w:val="nil"/>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p>
        </w:tc>
        <w:tc>
          <w:tcPr>
            <w:tcW w:w="5039" w:type="dxa"/>
            <w:tcBorders>
              <w:top w:val="nil"/>
              <w:left w:val="nil"/>
              <w:bottom w:val="single" w:color="000000" w:sz="8" w:space="0"/>
              <w:right w:val="single" w:color="000000" w:sz="8" w:space="0"/>
            </w:tcBorders>
            <w:noWrap w:val="0"/>
            <w:vAlign w:val="center"/>
          </w:tcPr>
          <w:p>
            <w:pPr>
              <w:widowControl/>
              <w:textAlignment w:val="center"/>
              <w:rPr>
                <w:rFonts w:hint="default" w:ascii="仿宋" w:hAnsi="仿宋" w:eastAsia="仿宋" w:cs="仿宋"/>
                <w:color w:val="000000"/>
                <w:sz w:val="30"/>
                <w:szCs w:val="30"/>
                <w:lang w:eastAsia="zh-CN"/>
              </w:rPr>
            </w:pPr>
            <w:r>
              <w:rPr>
                <w:rFonts w:hint="default" w:ascii="仿宋" w:hAnsi="仿宋" w:eastAsia="仿宋" w:cs="仿宋"/>
                <w:color w:val="000000"/>
                <w:sz w:val="30"/>
                <w:szCs w:val="30"/>
                <w:lang w:eastAsia="zh-CN"/>
              </w:rPr>
              <w:t>4.12每百出院人次主动报告不良事</w:t>
            </w:r>
          </w:p>
          <w:p>
            <w:pPr>
              <w:widowControl/>
              <w:ind w:firstLine="600" w:firstLineChars="200"/>
              <w:textAlignment w:val="center"/>
              <w:rPr>
                <w:rFonts w:hint="eastAsia" w:ascii="仿宋" w:hAnsi="仿宋" w:eastAsia="仿宋" w:cs="仿宋"/>
                <w:color w:val="000000"/>
                <w:sz w:val="30"/>
                <w:szCs w:val="30"/>
                <w:lang w:eastAsia="zh-CN"/>
              </w:rPr>
            </w:pPr>
            <w:r>
              <w:rPr>
                <w:rFonts w:hint="default" w:ascii="仿宋" w:hAnsi="仿宋" w:eastAsia="仿宋" w:cs="仿宋"/>
                <w:color w:val="000000"/>
                <w:sz w:val="30"/>
                <w:szCs w:val="30"/>
                <w:lang w:eastAsia="zh-CN"/>
              </w:rPr>
              <w:t>件例次</w:t>
            </w:r>
          </w:p>
        </w:tc>
        <w:tc>
          <w:tcPr>
            <w:tcW w:w="1529" w:type="dxa"/>
            <w:tcBorders>
              <w:top w:val="nil"/>
              <w:left w:val="nil"/>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r>
              <w:rPr>
                <w:rFonts w:hint="default" w:ascii="仿宋" w:hAnsi="仿宋" w:eastAsia="仿宋" w:cs="仿宋"/>
                <w:color w:val="000000"/>
                <w:sz w:val="30"/>
                <w:szCs w:val="30"/>
                <w:lang w:eastAsia="zh-CN"/>
              </w:rPr>
              <w:t>逐步升高</w:t>
            </w:r>
          </w:p>
        </w:tc>
        <w:tc>
          <w:tcPr>
            <w:tcW w:w="4772" w:type="dxa"/>
            <w:tcBorders>
              <w:top w:val="nil"/>
              <w:left w:val="nil"/>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卫生健康行政部门</w:t>
            </w:r>
          </w:p>
          <w:p>
            <w:pPr>
              <w:widowControl/>
              <w:textAlignment w:val="center"/>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各</w:t>
            </w:r>
            <w:r>
              <w:rPr>
                <w:rFonts w:hint="eastAsia" w:ascii="仿宋" w:hAnsi="仿宋" w:eastAsia="仿宋" w:cs="仿宋"/>
                <w:color w:val="000000"/>
                <w:sz w:val="30"/>
                <w:szCs w:val="30"/>
                <w:lang w:val="en-US" w:eastAsia="zh-CN"/>
              </w:rPr>
              <w:t>级各</w:t>
            </w:r>
            <w:r>
              <w:rPr>
                <w:rFonts w:hint="eastAsia" w:ascii="仿宋" w:hAnsi="仿宋" w:eastAsia="仿宋" w:cs="仿宋"/>
                <w:color w:val="000000"/>
                <w:sz w:val="30"/>
                <w:szCs w:val="30"/>
                <w:lang w:eastAsia="zh-CN"/>
              </w:rPr>
              <w:t>专业质控中心</w:t>
            </w:r>
          </w:p>
        </w:tc>
      </w:tr>
      <w:tr>
        <w:tblPrEx>
          <w:tblCellMar>
            <w:top w:w="0" w:type="dxa"/>
            <w:left w:w="108" w:type="dxa"/>
            <w:bottom w:w="0" w:type="dxa"/>
            <w:right w:w="108" w:type="dxa"/>
          </w:tblCellMar>
        </w:tblPrEx>
        <w:trPr>
          <w:trHeight w:val="600" w:hRule="atLeast"/>
        </w:trPr>
        <w:tc>
          <w:tcPr>
            <w:tcW w:w="995" w:type="dxa"/>
            <w:tcBorders>
              <w:top w:val="nil"/>
              <w:left w:val="single" w:color="000000" w:sz="8" w:space="0"/>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27</w:t>
            </w:r>
          </w:p>
        </w:tc>
        <w:tc>
          <w:tcPr>
            <w:tcW w:w="2490" w:type="dxa"/>
            <w:vMerge w:val="continue"/>
            <w:tcBorders>
              <w:top w:val="single" w:color="000000" w:sz="8" w:space="0"/>
              <w:left w:val="nil"/>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p>
        </w:tc>
        <w:tc>
          <w:tcPr>
            <w:tcW w:w="5039" w:type="dxa"/>
            <w:tcBorders>
              <w:top w:val="nil"/>
              <w:left w:val="nil"/>
              <w:bottom w:val="single" w:color="auto" w:sz="4" w:space="0"/>
              <w:right w:val="single" w:color="000000" w:sz="8" w:space="0"/>
            </w:tcBorders>
            <w:noWrap w:val="0"/>
            <w:vAlign w:val="center"/>
          </w:tcPr>
          <w:p>
            <w:pPr>
              <w:widowControl/>
              <w:textAlignment w:val="center"/>
              <w:rPr>
                <w:rFonts w:hint="default" w:ascii="仿宋" w:hAnsi="仿宋" w:eastAsia="仿宋" w:cs="仿宋"/>
                <w:color w:val="000000"/>
                <w:sz w:val="30"/>
                <w:szCs w:val="30"/>
                <w:lang w:eastAsia="zh-CN"/>
              </w:rPr>
            </w:pPr>
            <w:r>
              <w:rPr>
                <w:rFonts w:hint="default" w:ascii="仿宋" w:hAnsi="仿宋" w:eastAsia="仿宋" w:cs="仿宋"/>
                <w:color w:val="000000"/>
                <w:sz w:val="30"/>
                <w:szCs w:val="30"/>
                <w:lang w:eastAsia="zh-CN"/>
              </w:rPr>
              <w:t>4.13</w:t>
            </w:r>
            <w:r>
              <w:rPr>
                <w:rFonts w:hint="eastAsia" w:ascii="仿宋" w:hAnsi="仿宋" w:eastAsia="仿宋" w:cs="仿宋"/>
                <w:color w:val="000000"/>
                <w:sz w:val="30"/>
                <w:szCs w:val="30"/>
                <w:lang w:val="en-US" w:eastAsia="zh-CN"/>
              </w:rPr>
              <w:t xml:space="preserve"> </w:t>
            </w:r>
            <w:r>
              <w:rPr>
                <w:rFonts w:hint="default" w:ascii="仿宋" w:hAnsi="仿宋" w:eastAsia="仿宋" w:cs="仿宋"/>
                <w:color w:val="000000"/>
                <w:sz w:val="30"/>
                <w:szCs w:val="30"/>
                <w:lang w:eastAsia="zh-CN"/>
              </w:rPr>
              <w:t>中医医疗机构中以中医治疗为</w:t>
            </w:r>
          </w:p>
          <w:p>
            <w:pPr>
              <w:widowControl/>
              <w:ind w:firstLine="600" w:firstLineChars="200"/>
              <w:textAlignment w:val="center"/>
              <w:rPr>
                <w:rFonts w:hint="eastAsia" w:ascii="仿宋" w:hAnsi="仿宋" w:eastAsia="仿宋" w:cs="仿宋"/>
                <w:color w:val="000000"/>
                <w:sz w:val="30"/>
                <w:szCs w:val="30"/>
                <w:lang w:eastAsia="zh-CN"/>
              </w:rPr>
            </w:pPr>
            <w:r>
              <w:rPr>
                <w:rFonts w:hint="default" w:ascii="仿宋" w:hAnsi="仿宋" w:eastAsia="仿宋" w:cs="仿宋"/>
                <w:color w:val="000000"/>
                <w:sz w:val="30"/>
                <w:szCs w:val="30"/>
                <w:lang w:eastAsia="zh-CN"/>
              </w:rPr>
              <w:t>主的出院患者比例</w:t>
            </w:r>
          </w:p>
        </w:tc>
        <w:tc>
          <w:tcPr>
            <w:tcW w:w="1529" w:type="dxa"/>
            <w:tcBorders>
              <w:top w:val="nil"/>
              <w:left w:val="nil"/>
              <w:bottom w:val="single" w:color="auto" w:sz="4"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r>
              <w:rPr>
                <w:rFonts w:hint="default" w:ascii="仿宋" w:hAnsi="仿宋" w:eastAsia="仿宋" w:cs="仿宋"/>
                <w:color w:val="000000"/>
                <w:sz w:val="30"/>
                <w:szCs w:val="30"/>
                <w:lang w:eastAsia="zh-CN"/>
              </w:rPr>
              <w:t>逐步升高</w:t>
            </w:r>
          </w:p>
        </w:tc>
        <w:tc>
          <w:tcPr>
            <w:tcW w:w="4772" w:type="dxa"/>
            <w:tcBorders>
              <w:top w:val="nil"/>
              <w:left w:val="nil"/>
              <w:bottom w:val="single" w:color="auto" w:sz="4" w:space="0"/>
              <w:right w:val="single" w:color="000000" w:sz="8" w:space="0"/>
            </w:tcBorders>
            <w:noWrap w:val="0"/>
            <w:vAlign w:val="center"/>
          </w:tcPr>
          <w:p>
            <w:pPr>
              <w:widowControl/>
              <w:textAlignment w:val="center"/>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w:t>
            </w:r>
          </w:p>
        </w:tc>
      </w:tr>
      <w:tr>
        <w:tblPrEx>
          <w:tblCellMar>
            <w:top w:w="0" w:type="dxa"/>
            <w:left w:w="108" w:type="dxa"/>
            <w:bottom w:w="0" w:type="dxa"/>
            <w:right w:w="108" w:type="dxa"/>
          </w:tblCellMar>
        </w:tblPrEx>
        <w:trPr>
          <w:trHeight w:val="600" w:hRule="atLeast"/>
        </w:trPr>
        <w:tc>
          <w:tcPr>
            <w:tcW w:w="995" w:type="dxa"/>
            <w:tcBorders>
              <w:top w:val="nil"/>
              <w:left w:val="single" w:color="000000" w:sz="8" w:space="0"/>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28</w:t>
            </w:r>
          </w:p>
        </w:tc>
        <w:tc>
          <w:tcPr>
            <w:tcW w:w="2490" w:type="dxa"/>
            <w:vMerge w:val="restart"/>
            <w:tcBorders>
              <w:top w:val="single" w:color="000000" w:sz="8" w:space="0"/>
              <w:left w:val="nil"/>
              <w:bottom w:val="single" w:color="000000" w:sz="8" w:space="0"/>
              <w:right w:val="single" w:color="auto" w:sz="4" w:space="0"/>
            </w:tcBorders>
            <w:noWrap w:val="0"/>
            <w:vAlign w:val="center"/>
          </w:tcPr>
          <w:p>
            <w:pPr>
              <w:widowControl/>
              <w:textAlignment w:val="center"/>
              <w:rPr>
                <w:rFonts w:hint="eastAsia" w:ascii="仿宋" w:hAnsi="仿宋" w:eastAsia="仿宋" w:cs="仿宋"/>
                <w:color w:val="000000"/>
                <w:sz w:val="30"/>
                <w:szCs w:val="30"/>
                <w:lang w:eastAsia="zh-CN"/>
              </w:rPr>
            </w:pPr>
            <w:r>
              <w:rPr>
                <w:rFonts w:hint="default" w:ascii="仿宋" w:hAnsi="仿宋" w:eastAsia="仿宋" w:cs="仿宋"/>
                <w:color w:val="000000"/>
                <w:sz w:val="30"/>
                <w:szCs w:val="30"/>
                <w:lang w:eastAsia="zh-CN"/>
              </w:rPr>
              <w:t>5.结果质量</w:t>
            </w:r>
          </w:p>
        </w:tc>
        <w:tc>
          <w:tcPr>
            <w:tcW w:w="5039"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5.1</w:t>
            </w:r>
            <w:r>
              <w:rPr>
                <w:rFonts w:hint="eastAsia" w:ascii="仿宋" w:hAnsi="仿宋" w:eastAsia="仿宋" w:cs="仿宋"/>
                <w:color w:val="000000"/>
                <w:sz w:val="30"/>
                <w:szCs w:val="30"/>
                <w:lang w:val="en-US" w:eastAsia="zh-CN"/>
              </w:rPr>
              <w:t xml:space="preserve"> </w:t>
            </w:r>
            <w:r>
              <w:rPr>
                <w:rFonts w:hint="eastAsia" w:ascii="仿宋" w:hAnsi="仿宋" w:eastAsia="仿宋" w:cs="仿宋"/>
                <w:color w:val="000000"/>
                <w:sz w:val="30"/>
                <w:szCs w:val="30"/>
                <w:lang w:eastAsia="zh-CN"/>
              </w:rPr>
              <w:t>医院CMI值</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仿宋" w:hAnsi="仿宋" w:eastAsia="仿宋" w:cs="仿宋"/>
                <w:color w:val="000000"/>
                <w:sz w:val="30"/>
                <w:szCs w:val="30"/>
                <w:lang w:eastAsia="zh-CN"/>
              </w:rPr>
            </w:pPr>
            <w:r>
              <w:rPr>
                <w:rFonts w:hint="default" w:ascii="仿宋" w:hAnsi="仿宋" w:eastAsia="仿宋" w:cs="仿宋"/>
                <w:color w:val="000000"/>
                <w:sz w:val="30"/>
                <w:szCs w:val="30"/>
                <w:lang w:eastAsia="zh-CN"/>
              </w:rPr>
              <w:t>逐步升高</w:t>
            </w:r>
          </w:p>
        </w:tc>
        <w:tc>
          <w:tcPr>
            <w:tcW w:w="4772"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val="en-US" w:eastAsia="zh-CN"/>
              </w:rPr>
              <w:t>/</w:t>
            </w:r>
          </w:p>
        </w:tc>
      </w:tr>
      <w:tr>
        <w:tblPrEx>
          <w:tblCellMar>
            <w:top w:w="0" w:type="dxa"/>
            <w:left w:w="108" w:type="dxa"/>
            <w:bottom w:w="0" w:type="dxa"/>
            <w:right w:w="108" w:type="dxa"/>
          </w:tblCellMar>
        </w:tblPrEx>
        <w:trPr>
          <w:trHeight w:val="600" w:hRule="atLeast"/>
        </w:trPr>
        <w:tc>
          <w:tcPr>
            <w:tcW w:w="995" w:type="dxa"/>
            <w:tcBorders>
              <w:top w:val="nil"/>
              <w:left w:val="single" w:color="000000" w:sz="8" w:space="0"/>
              <w:bottom w:val="single" w:color="auto" w:sz="4"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29</w:t>
            </w:r>
          </w:p>
        </w:tc>
        <w:tc>
          <w:tcPr>
            <w:tcW w:w="2490" w:type="dxa"/>
            <w:vMerge w:val="continue"/>
            <w:tcBorders>
              <w:top w:val="single" w:color="000000" w:sz="8" w:space="0"/>
              <w:left w:val="nil"/>
              <w:bottom w:val="single" w:color="auto" w:sz="4"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p>
        </w:tc>
        <w:tc>
          <w:tcPr>
            <w:tcW w:w="5039" w:type="dxa"/>
            <w:tcBorders>
              <w:top w:val="single" w:color="auto" w:sz="4" w:space="0"/>
              <w:left w:val="nil"/>
              <w:bottom w:val="single" w:color="auto" w:sz="4"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r>
              <w:rPr>
                <w:rFonts w:hint="default" w:ascii="仿宋" w:hAnsi="仿宋" w:eastAsia="仿宋" w:cs="仿宋"/>
                <w:color w:val="000000"/>
                <w:sz w:val="30"/>
                <w:szCs w:val="30"/>
                <w:lang w:eastAsia="zh-CN"/>
              </w:rPr>
              <w:t>5.2</w:t>
            </w:r>
            <w:r>
              <w:rPr>
                <w:rFonts w:hint="eastAsia" w:ascii="仿宋" w:hAnsi="仿宋" w:eastAsia="仿宋" w:cs="仿宋"/>
                <w:color w:val="000000"/>
                <w:sz w:val="30"/>
                <w:szCs w:val="30"/>
                <w:lang w:val="en-US" w:eastAsia="zh-CN"/>
              </w:rPr>
              <w:t xml:space="preserve"> </w:t>
            </w:r>
            <w:r>
              <w:rPr>
                <w:rFonts w:hint="default" w:ascii="仿宋" w:hAnsi="仿宋" w:eastAsia="仿宋" w:cs="仿宋"/>
                <w:color w:val="000000"/>
                <w:sz w:val="30"/>
                <w:szCs w:val="30"/>
                <w:lang w:eastAsia="zh-CN"/>
              </w:rPr>
              <w:t>ICU患者病死率</w:t>
            </w:r>
          </w:p>
        </w:tc>
        <w:tc>
          <w:tcPr>
            <w:tcW w:w="1529" w:type="dxa"/>
            <w:tcBorders>
              <w:top w:val="single" w:color="auto" w:sz="4" w:space="0"/>
              <w:left w:val="nil"/>
              <w:bottom w:val="single" w:color="auto" w:sz="4"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r>
              <w:rPr>
                <w:rFonts w:hint="default" w:ascii="仿宋" w:hAnsi="仿宋" w:eastAsia="仿宋" w:cs="仿宋"/>
                <w:color w:val="000000"/>
                <w:sz w:val="30"/>
                <w:szCs w:val="30"/>
                <w:lang w:eastAsia="zh-CN"/>
              </w:rPr>
              <w:t>逐步降低</w:t>
            </w:r>
          </w:p>
        </w:tc>
        <w:tc>
          <w:tcPr>
            <w:tcW w:w="4772" w:type="dxa"/>
            <w:tcBorders>
              <w:top w:val="single" w:color="auto" w:sz="4" w:space="0"/>
              <w:left w:val="nil"/>
              <w:bottom w:val="single" w:color="auto" w:sz="4"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重症医学、新生儿重症</w:t>
            </w:r>
            <w:r>
              <w:rPr>
                <w:rFonts w:hint="eastAsia" w:ascii="仿宋" w:hAnsi="仿宋" w:eastAsia="仿宋" w:cs="仿宋"/>
                <w:color w:val="000000"/>
                <w:sz w:val="30"/>
                <w:szCs w:val="30"/>
                <w:lang w:val="en-US" w:eastAsia="zh-CN"/>
              </w:rPr>
              <w:t>等</w:t>
            </w:r>
            <w:r>
              <w:rPr>
                <w:rFonts w:hint="eastAsia" w:ascii="仿宋" w:hAnsi="仿宋" w:eastAsia="仿宋" w:cs="仿宋"/>
                <w:color w:val="000000"/>
                <w:sz w:val="30"/>
                <w:szCs w:val="30"/>
                <w:lang w:eastAsia="zh-CN"/>
              </w:rPr>
              <w:t>质控中心</w:t>
            </w:r>
          </w:p>
        </w:tc>
      </w:tr>
      <w:tr>
        <w:tblPrEx>
          <w:tblCellMar>
            <w:top w:w="0" w:type="dxa"/>
            <w:left w:w="108" w:type="dxa"/>
            <w:bottom w:w="0" w:type="dxa"/>
            <w:right w:w="108" w:type="dxa"/>
          </w:tblCellMar>
        </w:tblPrEx>
        <w:trPr>
          <w:trHeight w:val="600" w:hRule="atLeast"/>
        </w:trPr>
        <w:tc>
          <w:tcPr>
            <w:tcW w:w="995"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30</w:t>
            </w:r>
          </w:p>
        </w:tc>
        <w:tc>
          <w:tcPr>
            <w:tcW w:w="2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仿宋" w:hAnsi="仿宋" w:eastAsia="仿宋" w:cs="仿宋"/>
                <w:color w:val="000000"/>
                <w:sz w:val="30"/>
                <w:szCs w:val="30"/>
                <w:lang w:eastAsia="zh-CN"/>
              </w:rPr>
            </w:pPr>
          </w:p>
        </w:tc>
        <w:tc>
          <w:tcPr>
            <w:tcW w:w="5039"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仿宋" w:hAnsi="仿宋" w:eastAsia="仿宋" w:cs="仿宋"/>
                <w:color w:val="000000"/>
                <w:sz w:val="30"/>
                <w:szCs w:val="30"/>
                <w:lang w:eastAsia="zh-CN"/>
              </w:rPr>
            </w:pPr>
            <w:r>
              <w:rPr>
                <w:rFonts w:hint="default" w:ascii="仿宋" w:hAnsi="仿宋" w:eastAsia="仿宋" w:cs="仿宋"/>
                <w:color w:val="000000"/>
                <w:sz w:val="30"/>
                <w:szCs w:val="30"/>
                <w:lang w:eastAsia="zh-CN"/>
              </w:rPr>
              <w:t>5.3</w:t>
            </w:r>
            <w:r>
              <w:rPr>
                <w:rFonts w:hint="eastAsia" w:ascii="仿宋" w:hAnsi="仿宋" w:eastAsia="仿宋" w:cs="仿宋"/>
                <w:color w:val="000000"/>
                <w:sz w:val="30"/>
                <w:szCs w:val="30"/>
                <w:lang w:val="en-US" w:eastAsia="zh-CN"/>
              </w:rPr>
              <w:t xml:space="preserve"> </w:t>
            </w:r>
            <w:r>
              <w:rPr>
                <w:rFonts w:hint="default" w:ascii="仿宋" w:hAnsi="仿宋" w:eastAsia="仿宋" w:cs="仿宋"/>
                <w:color w:val="000000"/>
                <w:sz w:val="30"/>
                <w:szCs w:val="30"/>
                <w:lang w:eastAsia="zh-CN"/>
              </w:rPr>
              <w:t>手术并发症发生率</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仿宋" w:hAnsi="仿宋" w:eastAsia="仿宋" w:cs="仿宋"/>
                <w:color w:val="000000"/>
                <w:sz w:val="30"/>
                <w:szCs w:val="30"/>
                <w:lang w:eastAsia="zh-CN"/>
              </w:rPr>
            </w:pPr>
            <w:r>
              <w:rPr>
                <w:rFonts w:hint="default" w:ascii="仿宋" w:hAnsi="仿宋" w:eastAsia="仿宋" w:cs="仿宋"/>
                <w:color w:val="000000"/>
                <w:sz w:val="30"/>
                <w:szCs w:val="30"/>
                <w:lang w:eastAsia="zh-CN"/>
              </w:rPr>
              <w:t>逐步降低</w:t>
            </w:r>
          </w:p>
        </w:tc>
        <w:tc>
          <w:tcPr>
            <w:tcW w:w="477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普通外科、肿瘤、产科、妇科、</w:t>
            </w:r>
          </w:p>
          <w:p>
            <w:pPr>
              <w:widowControl/>
              <w:textAlignment w:val="center"/>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胸外科、临床药学、医院感染管理、</w:t>
            </w:r>
          </w:p>
          <w:p>
            <w:pPr>
              <w:widowControl/>
              <w:textAlignment w:val="center"/>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麻醉、护理、消毒供应</w:t>
            </w:r>
            <w:r>
              <w:rPr>
                <w:rFonts w:hint="eastAsia" w:ascii="仿宋" w:hAnsi="仿宋" w:eastAsia="仿宋" w:cs="仿宋"/>
                <w:color w:val="000000"/>
                <w:sz w:val="30"/>
                <w:szCs w:val="30"/>
                <w:lang w:val="en-US" w:eastAsia="zh-CN"/>
              </w:rPr>
              <w:t>等</w:t>
            </w:r>
            <w:r>
              <w:rPr>
                <w:rFonts w:hint="eastAsia" w:ascii="仿宋" w:hAnsi="仿宋" w:eastAsia="仿宋" w:cs="仿宋"/>
                <w:color w:val="000000"/>
                <w:sz w:val="30"/>
                <w:szCs w:val="30"/>
                <w:lang w:eastAsia="zh-CN"/>
              </w:rPr>
              <w:t>质控中心</w:t>
            </w:r>
          </w:p>
        </w:tc>
      </w:tr>
      <w:tr>
        <w:tblPrEx>
          <w:tblCellMar>
            <w:top w:w="0" w:type="dxa"/>
            <w:left w:w="108" w:type="dxa"/>
            <w:bottom w:w="0" w:type="dxa"/>
            <w:right w:w="108" w:type="dxa"/>
          </w:tblCellMar>
        </w:tblPrEx>
        <w:trPr>
          <w:trHeight w:val="700" w:hRule="atLeast"/>
        </w:trPr>
        <w:tc>
          <w:tcPr>
            <w:tcW w:w="995" w:type="dxa"/>
            <w:tcBorders>
              <w:top w:val="single" w:color="auto" w:sz="4" w:space="0"/>
              <w:left w:val="single" w:color="000000" w:sz="8" w:space="0"/>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31</w:t>
            </w:r>
          </w:p>
        </w:tc>
        <w:tc>
          <w:tcPr>
            <w:tcW w:w="2490" w:type="dxa"/>
            <w:vMerge w:val="continue"/>
            <w:tcBorders>
              <w:top w:val="single" w:color="auto" w:sz="4" w:space="0"/>
              <w:left w:val="nil"/>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p>
        </w:tc>
        <w:tc>
          <w:tcPr>
            <w:tcW w:w="5039" w:type="dxa"/>
            <w:tcBorders>
              <w:top w:val="single" w:color="auto" w:sz="4" w:space="0"/>
              <w:left w:val="nil"/>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r>
              <w:rPr>
                <w:rFonts w:hint="default" w:ascii="仿宋" w:hAnsi="仿宋" w:eastAsia="仿宋" w:cs="仿宋"/>
                <w:color w:val="000000"/>
                <w:sz w:val="30"/>
                <w:szCs w:val="30"/>
                <w:lang w:eastAsia="zh-CN"/>
              </w:rPr>
              <w:t>5.4</w:t>
            </w:r>
            <w:r>
              <w:rPr>
                <w:rFonts w:hint="eastAsia" w:ascii="仿宋" w:hAnsi="仿宋" w:eastAsia="仿宋" w:cs="仿宋"/>
                <w:color w:val="000000"/>
                <w:sz w:val="30"/>
                <w:szCs w:val="30"/>
                <w:lang w:val="en-US" w:eastAsia="zh-CN"/>
              </w:rPr>
              <w:t xml:space="preserve"> </w:t>
            </w:r>
            <w:r>
              <w:rPr>
                <w:rFonts w:hint="default" w:ascii="仿宋" w:hAnsi="仿宋" w:eastAsia="仿宋" w:cs="仿宋"/>
                <w:color w:val="000000"/>
                <w:sz w:val="30"/>
                <w:szCs w:val="30"/>
                <w:lang w:eastAsia="zh-CN"/>
              </w:rPr>
              <w:t>非计划重返手术室再手术率</w:t>
            </w:r>
          </w:p>
        </w:tc>
        <w:tc>
          <w:tcPr>
            <w:tcW w:w="1529" w:type="dxa"/>
            <w:tcBorders>
              <w:top w:val="single" w:color="auto" w:sz="4" w:space="0"/>
              <w:left w:val="nil"/>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r>
              <w:rPr>
                <w:rFonts w:hint="default" w:ascii="仿宋" w:hAnsi="仿宋" w:eastAsia="仿宋" w:cs="仿宋"/>
                <w:color w:val="000000"/>
                <w:sz w:val="30"/>
                <w:szCs w:val="30"/>
                <w:lang w:eastAsia="zh-CN"/>
              </w:rPr>
              <w:t>逐步降低</w:t>
            </w:r>
          </w:p>
        </w:tc>
        <w:tc>
          <w:tcPr>
            <w:tcW w:w="4772" w:type="dxa"/>
            <w:vMerge w:val="continue"/>
            <w:tcBorders>
              <w:top w:val="single" w:color="auto" w:sz="4" w:space="0"/>
              <w:left w:val="nil"/>
              <w:bottom w:val="single" w:color="000000" w:sz="8" w:space="0"/>
              <w:right w:val="single" w:color="auto" w:sz="4" w:space="0"/>
            </w:tcBorders>
            <w:noWrap w:val="0"/>
            <w:vAlign w:val="center"/>
          </w:tcPr>
          <w:p>
            <w:pPr>
              <w:widowControl/>
              <w:textAlignment w:val="center"/>
              <w:rPr>
                <w:rFonts w:hint="eastAsia" w:ascii="仿宋" w:hAnsi="仿宋" w:eastAsia="仿宋" w:cs="仿宋"/>
                <w:color w:val="000000"/>
                <w:sz w:val="30"/>
                <w:szCs w:val="30"/>
                <w:lang w:eastAsia="zh-CN"/>
              </w:rPr>
            </w:pPr>
          </w:p>
        </w:tc>
      </w:tr>
      <w:tr>
        <w:tblPrEx>
          <w:tblCellMar>
            <w:top w:w="0" w:type="dxa"/>
            <w:left w:w="108" w:type="dxa"/>
            <w:bottom w:w="0" w:type="dxa"/>
            <w:right w:w="108" w:type="dxa"/>
          </w:tblCellMar>
        </w:tblPrEx>
        <w:trPr>
          <w:trHeight w:val="551" w:hRule="atLeast"/>
        </w:trPr>
        <w:tc>
          <w:tcPr>
            <w:tcW w:w="995" w:type="dxa"/>
            <w:tcBorders>
              <w:top w:val="nil"/>
              <w:left w:val="single" w:color="000000" w:sz="8" w:space="0"/>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32</w:t>
            </w:r>
          </w:p>
        </w:tc>
        <w:tc>
          <w:tcPr>
            <w:tcW w:w="2490" w:type="dxa"/>
            <w:vMerge w:val="continue"/>
            <w:tcBorders>
              <w:top w:val="single" w:color="000000" w:sz="8" w:space="0"/>
              <w:left w:val="nil"/>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p>
        </w:tc>
        <w:tc>
          <w:tcPr>
            <w:tcW w:w="5039" w:type="dxa"/>
            <w:tcBorders>
              <w:top w:val="nil"/>
              <w:left w:val="nil"/>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r>
              <w:rPr>
                <w:rFonts w:hint="default" w:ascii="仿宋" w:hAnsi="仿宋" w:eastAsia="仿宋" w:cs="仿宋"/>
                <w:color w:val="000000"/>
                <w:sz w:val="30"/>
                <w:szCs w:val="30"/>
                <w:lang w:eastAsia="zh-CN"/>
              </w:rPr>
              <w:t>5.5</w:t>
            </w:r>
            <w:r>
              <w:rPr>
                <w:rFonts w:hint="eastAsia" w:ascii="仿宋" w:hAnsi="仿宋" w:eastAsia="仿宋" w:cs="仿宋"/>
                <w:color w:val="000000"/>
                <w:sz w:val="30"/>
                <w:szCs w:val="30"/>
                <w:lang w:val="en-US" w:eastAsia="zh-CN"/>
              </w:rPr>
              <w:t xml:space="preserve"> </w:t>
            </w:r>
            <w:r>
              <w:rPr>
                <w:rFonts w:hint="default" w:ascii="仿宋" w:hAnsi="仿宋" w:eastAsia="仿宋" w:cs="仿宋"/>
                <w:color w:val="000000"/>
                <w:sz w:val="30"/>
                <w:szCs w:val="30"/>
                <w:lang w:eastAsia="zh-CN"/>
              </w:rPr>
              <w:t>围术期死亡率</w:t>
            </w:r>
          </w:p>
        </w:tc>
        <w:tc>
          <w:tcPr>
            <w:tcW w:w="1529" w:type="dxa"/>
            <w:tcBorders>
              <w:top w:val="nil"/>
              <w:left w:val="nil"/>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r>
              <w:rPr>
                <w:rFonts w:hint="default" w:ascii="仿宋" w:hAnsi="仿宋" w:eastAsia="仿宋" w:cs="仿宋"/>
                <w:color w:val="000000"/>
                <w:sz w:val="30"/>
                <w:szCs w:val="30"/>
                <w:lang w:eastAsia="zh-CN"/>
              </w:rPr>
              <w:t>逐步降低</w:t>
            </w:r>
          </w:p>
        </w:tc>
        <w:tc>
          <w:tcPr>
            <w:tcW w:w="4772" w:type="dxa"/>
            <w:vMerge w:val="continue"/>
            <w:tcBorders>
              <w:top w:val="nil"/>
              <w:left w:val="nil"/>
              <w:bottom w:val="single" w:color="000000" w:sz="8" w:space="0"/>
              <w:right w:val="single" w:color="auto" w:sz="4" w:space="0"/>
            </w:tcBorders>
            <w:noWrap w:val="0"/>
            <w:vAlign w:val="center"/>
          </w:tcPr>
          <w:p>
            <w:pPr>
              <w:widowControl/>
              <w:textAlignment w:val="center"/>
              <w:rPr>
                <w:rFonts w:hint="eastAsia" w:ascii="仿宋" w:hAnsi="仿宋" w:eastAsia="仿宋" w:cs="仿宋"/>
                <w:color w:val="000000"/>
                <w:sz w:val="30"/>
                <w:szCs w:val="30"/>
                <w:lang w:eastAsia="zh-CN"/>
              </w:rPr>
            </w:pPr>
          </w:p>
        </w:tc>
      </w:tr>
      <w:tr>
        <w:tblPrEx>
          <w:tblCellMar>
            <w:top w:w="0" w:type="dxa"/>
            <w:left w:w="108" w:type="dxa"/>
            <w:bottom w:w="0" w:type="dxa"/>
            <w:right w:w="108" w:type="dxa"/>
          </w:tblCellMar>
        </w:tblPrEx>
        <w:trPr>
          <w:trHeight w:val="986" w:hRule="atLeast"/>
        </w:trPr>
        <w:tc>
          <w:tcPr>
            <w:tcW w:w="995" w:type="dxa"/>
            <w:tcBorders>
              <w:top w:val="nil"/>
              <w:left w:val="single" w:color="000000" w:sz="8" w:space="0"/>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33</w:t>
            </w:r>
          </w:p>
        </w:tc>
        <w:tc>
          <w:tcPr>
            <w:tcW w:w="2490" w:type="dxa"/>
            <w:vMerge w:val="continue"/>
            <w:tcBorders>
              <w:top w:val="single" w:color="000000" w:sz="8" w:space="0"/>
              <w:left w:val="nil"/>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p>
        </w:tc>
        <w:tc>
          <w:tcPr>
            <w:tcW w:w="5039" w:type="dxa"/>
            <w:tcBorders>
              <w:top w:val="nil"/>
              <w:left w:val="nil"/>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r>
              <w:rPr>
                <w:rFonts w:hint="default" w:ascii="仿宋" w:hAnsi="仿宋" w:eastAsia="仿宋" w:cs="仿宋"/>
                <w:color w:val="000000"/>
                <w:sz w:val="30"/>
                <w:szCs w:val="30"/>
                <w:lang w:eastAsia="zh-CN"/>
              </w:rPr>
              <w:t>5.6</w:t>
            </w:r>
            <w:r>
              <w:rPr>
                <w:rFonts w:hint="eastAsia" w:ascii="仿宋" w:hAnsi="仿宋" w:eastAsia="仿宋" w:cs="仿宋"/>
                <w:color w:val="000000"/>
                <w:sz w:val="30"/>
                <w:szCs w:val="30"/>
                <w:lang w:val="en-US" w:eastAsia="zh-CN"/>
              </w:rPr>
              <w:t xml:space="preserve"> </w:t>
            </w:r>
            <w:r>
              <w:rPr>
                <w:rFonts w:hint="default" w:ascii="仿宋" w:hAnsi="仿宋" w:eastAsia="仿宋" w:cs="仿宋"/>
                <w:color w:val="000000"/>
                <w:sz w:val="30"/>
                <w:szCs w:val="30"/>
                <w:lang w:eastAsia="zh-CN"/>
              </w:rPr>
              <w:t>恶性肿瘤患者生存时间</w:t>
            </w:r>
          </w:p>
        </w:tc>
        <w:tc>
          <w:tcPr>
            <w:tcW w:w="1529" w:type="dxa"/>
            <w:tcBorders>
              <w:top w:val="nil"/>
              <w:left w:val="nil"/>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r>
              <w:rPr>
                <w:rFonts w:hint="default" w:ascii="仿宋" w:hAnsi="仿宋" w:eastAsia="仿宋" w:cs="仿宋"/>
                <w:color w:val="000000"/>
                <w:sz w:val="30"/>
                <w:szCs w:val="30"/>
                <w:lang w:eastAsia="zh-CN"/>
              </w:rPr>
              <w:t>逐步升高</w:t>
            </w:r>
          </w:p>
        </w:tc>
        <w:tc>
          <w:tcPr>
            <w:tcW w:w="4772" w:type="dxa"/>
            <w:tcBorders>
              <w:top w:val="nil"/>
              <w:left w:val="nil"/>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肿瘤、妇科、胸外科、普通外科</w:t>
            </w:r>
            <w:r>
              <w:rPr>
                <w:rFonts w:hint="eastAsia" w:ascii="仿宋" w:hAnsi="仿宋" w:eastAsia="仿宋" w:cs="仿宋"/>
                <w:color w:val="000000"/>
                <w:sz w:val="30"/>
                <w:szCs w:val="30"/>
                <w:lang w:val="en-US" w:eastAsia="zh-CN"/>
              </w:rPr>
              <w:t>等</w:t>
            </w:r>
            <w:r>
              <w:rPr>
                <w:rFonts w:hint="eastAsia" w:ascii="仿宋" w:hAnsi="仿宋" w:eastAsia="仿宋" w:cs="仿宋"/>
                <w:color w:val="000000"/>
                <w:sz w:val="30"/>
                <w:szCs w:val="30"/>
                <w:lang w:eastAsia="zh-CN"/>
              </w:rPr>
              <w:t>质控中心</w:t>
            </w:r>
          </w:p>
        </w:tc>
      </w:tr>
      <w:tr>
        <w:tblPrEx>
          <w:tblCellMar>
            <w:top w:w="0" w:type="dxa"/>
            <w:left w:w="108" w:type="dxa"/>
            <w:bottom w:w="0" w:type="dxa"/>
            <w:right w:w="108" w:type="dxa"/>
          </w:tblCellMar>
        </w:tblPrEx>
        <w:trPr>
          <w:trHeight w:val="942" w:hRule="atLeast"/>
        </w:trPr>
        <w:tc>
          <w:tcPr>
            <w:tcW w:w="995" w:type="dxa"/>
            <w:tcBorders>
              <w:top w:val="nil"/>
              <w:left w:val="single" w:color="000000" w:sz="8" w:space="0"/>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34</w:t>
            </w:r>
          </w:p>
        </w:tc>
        <w:tc>
          <w:tcPr>
            <w:tcW w:w="2490" w:type="dxa"/>
            <w:vMerge w:val="continue"/>
            <w:tcBorders>
              <w:top w:val="single" w:color="000000" w:sz="8" w:space="0"/>
              <w:left w:val="nil"/>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p>
        </w:tc>
        <w:tc>
          <w:tcPr>
            <w:tcW w:w="5039" w:type="dxa"/>
            <w:tcBorders>
              <w:top w:val="nil"/>
              <w:left w:val="nil"/>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r>
              <w:rPr>
                <w:rFonts w:hint="default" w:ascii="仿宋" w:hAnsi="仿宋" w:eastAsia="仿宋" w:cs="仿宋"/>
                <w:color w:val="000000"/>
                <w:sz w:val="30"/>
                <w:szCs w:val="30"/>
                <w:lang w:eastAsia="zh-CN"/>
              </w:rPr>
              <w:t>5.7</w:t>
            </w:r>
            <w:r>
              <w:rPr>
                <w:rFonts w:hint="eastAsia" w:ascii="仿宋" w:hAnsi="仿宋" w:eastAsia="仿宋" w:cs="仿宋"/>
                <w:color w:val="000000"/>
                <w:sz w:val="30"/>
                <w:szCs w:val="30"/>
                <w:lang w:val="en-US" w:eastAsia="zh-CN"/>
              </w:rPr>
              <w:t xml:space="preserve"> </w:t>
            </w:r>
            <w:r>
              <w:rPr>
                <w:rFonts w:hint="default" w:ascii="仿宋" w:hAnsi="仿宋" w:eastAsia="仿宋" w:cs="仿宋"/>
                <w:color w:val="000000"/>
                <w:sz w:val="30"/>
                <w:szCs w:val="30"/>
                <w:lang w:eastAsia="zh-CN"/>
              </w:rPr>
              <w:t>血管内导管相关血流感染发生率</w:t>
            </w:r>
          </w:p>
        </w:tc>
        <w:tc>
          <w:tcPr>
            <w:tcW w:w="1529" w:type="dxa"/>
            <w:tcBorders>
              <w:top w:val="nil"/>
              <w:left w:val="nil"/>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r>
              <w:rPr>
                <w:rFonts w:hint="default" w:ascii="仿宋" w:hAnsi="仿宋" w:eastAsia="仿宋" w:cs="仿宋"/>
                <w:color w:val="000000"/>
                <w:sz w:val="30"/>
                <w:szCs w:val="30"/>
                <w:lang w:eastAsia="zh-CN"/>
              </w:rPr>
              <w:t>逐步降低</w:t>
            </w:r>
          </w:p>
        </w:tc>
        <w:tc>
          <w:tcPr>
            <w:tcW w:w="4772" w:type="dxa"/>
            <w:tcBorders>
              <w:top w:val="nil"/>
              <w:left w:val="nil"/>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医院感染管理、</w:t>
            </w:r>
            <w:r>
              <w:rPr>
                <w:rFonts w:hint="eastAsia" w:ascii="仿宋" w:hAnsi="仿宋" w:eastAsia="仿宋" w:cs="仿宋"/>
                <w:color w:val="000000"/>
                <w:sz w:val="30"/>
                <w:szCs w:val="30"/>
                <w:lang w:val="en-US" w:eastAsia="zh-CN"/>
              </w:rPr>
              <w:t>重症医学、护理等</w:t>
            </w:r>
            <w:r>
              <w:rPr>
                <w:rFonts w:hint="eastAsia" w:ascii="仿宋" w:hAnsi="仿宋" w:eastAsia="仿宋" w:cs="仿宋"/>
                <w:color w:val="000000"/>
                <w:sz w:val="30"/>
                <w:szCs w:val="30"/>
                <w:lang w:eastAsia="zh-CN"/>
              </w:rPr>
              <w:t>质控中心</w:t>
            </w:r>
          </w:p>
        </w:tc>
      </w:tr>
      <w:tr>
        <w:tblPrEx>
          <w:tblCellMar>
            <w:top w:w="0" w:type="dxa"/>
            <w:left w:w="108" w:type="dxa"/>
            <w:bottom w:w="0" w:type="dxa"/>
            <w:right w:w="108" w:type="dxa"/>
          </w:tblCellMar>
        </w:tblPrEx>
        <w:trPr>
          <w:trHeight w:val="600" w:hRule="atLeast"/>
        </w:trPr>
        <w:tc>
          <w:tcPr>
            <w:tcW w:w="995" w:type="dxa"/>
            <w:tcBorders>
              <w:top w:val="nil"/>
              <w:left w:val="single" w:color="000000" w:sz="8" w:space="0"/>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35</w:t>
            </w:r>
          </w:p>
        </w:tc>
        <w:tc>
          <w:tcPr>
            <w:tcW w:w="2490" w:type="dxa"/>
            <w:vMerge w:val="continue"/>
            <w:tcBorders>
              <w:top w:val="single" w:color="000000" w:sz="8" w:space="0"/>
              <w:left w:val="nil"/>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p>
        </w:tc>
        <w:tc>
          <w:tcPr>
            <w:tcW w:w="5039" w:type="dxa"/>
            <w:tcBorders>
              <w:top w:val="nil"/>
              <w:left w:val="nil"/>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r>
              <w:rPr>
                <w:rFonts w:hint="default" w:ascii="仿宋" w:hAnsi="仿宋" w:eastAsia="仿宋" w:cs="仿宋"/>
                <w:color w:val="000000"/>
                <w:sz w:val="30"/>
                <w:szCs w:val="30"/>
                <w:lang w:eastAsia="zh-CN"/>
              </w:rPr>
              <w:t>5.8</w:t>
            </w:r>
            <w:r>
              <w:rPr>
                <w:rFonts w:hint="eastAsia" w:ascii="仿宋" w:hAnsi="仿宋" w:eastAsia="仿宋" w:cs="仿宋"/>
                <w:color w:val="000000"/>
                <w:sz w:val="30"/>
                <w:szCs w:val="30"/>
                <w:lang w:val="en-US" w:eastAsia="zh-CN"/>
              </w:rPr>
              <w:t xml:space="preserve"> </w:t>
            </w:r>
            <w:r>
              <w:rPr>
                <w:rFonts w:hint="default" w:ascii="仿宋" w:hAnsi="仿宋" w:eastAsia="仿宋" w:cs="仿宋"/>
                <w:color w:val="000000"/>
                <w:sz w:val="30"/>
                <w:szCs w:val="30"/>
                <w:lang w:eastAsia="zh-CN"/>
              </w:rPr>
              <w:t>患者院内压力性损伤发生率</w:t>
            </w:r>
          </w:p>
        </w:tc>
        <w:tc>
          <w:tcPr>
            <w:tcW w:w="1529" w:type="dxa"/>
            <w:tcBorders>
              <w:top w:val="nil"/>
              <w:left w:val="nil"/>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r>
              <w:rPr>
                <w:rFonts w:hint="default" w:ascii="仿宋" w:hAnsi="仿宋" w:eastAsia="仿宋" w:cs="仿宋"/>
                <w:color w:val="000000"/>
                <w:sz w:val="30"/>
                <w:szCs w:val="30"/>
                <w:lang w:eastAsia="zh-CN"/>
              </w:rPr>
              <w:t>逐步降低</w:t>
            </w:r>
          </w:p>
        </w:tc>
        <w:tc>
          <w:tcPr>
            <w:tcW w:w="4772" w:type="dxa"/>
            <w:tcBorders>
              <w:top w:val="nil"/>
              <w:left w:val="nil"/>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护理</w:t>
            </w:r>
            <w:r>
              <w:rPr>
                <w:rFonts w:hint="eastAsia" w:ascii="仿宋" w:hAnsi="仿宋" w:eastAsia="仿宋" w:cs="仿宋"/>
                <w:color w:val="000000"/>
                <w:sz w:val="30"/>
                <w:szCs w:val="30"/>
                <w:lang w:val="en-US" w:eastAsia="zh-CN"/>
              </w:rPr>
              <w:t>等</w:t>
            </w:r>
            <w:r>
              <w:rPr>
                <w:rFonts w:hint="eastAsia" w:ascii="仿宋" w:hAnsi="仿宋" w:eastAsia="仿宋" w:cs="仿宋"/>
                <w:color w:val="000000"/>
                <w:sz w:val="30"/>
                <w:szCs w:val="30"/>
                <w:lang w:eastAsia="zh-CN"/>
              </w:rPr>
              <w:t>质控中心</w:t>
            </w:r>
          </w:p>
        </w:tc>
      </w:tr>
      <w:tr>
        <w:tblPrEx>
          <w:tblCellMar>
            <w:top w:w="0" w:type="dxa"/>
            <w:left w:w="108" w:type="dxa"/>
            <w:bottom w:w="0" w:type="dxa"/>
            <w:right w:w="108" w:type="dxa"/>
          </w:tblCellMar>
        </w:tblPrEx>
        <w:trPr>
          <w:trHeight w:val="600" w:hRule="atLeast"/>
        </w:trPr>
        <w:tc>
          <w:tcPr>
            <w:tcW w:w="995" w:type="dxa"/>
            <w:tcBorders>
              <w:top w:val="single" w:color="000000" w:sz="8" w:space="0"/>
              <w:left w:val="single" w:color="000000" w:sz="8" w:space="0"/>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36</w:t>
            </w:r>
          </w:p>
        </w:tc>
        <w:tc>
          <w:tcPr>
            <w:tcW w:w="2490"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r>
              <w:rPr>
                <w:rFonts w:hint="default" w:ascii="仿宋" w:hAnsi="仿宋" w:eastAsia="仿宋" w:cs="仿宋"/>
                <w:color w:val="000000"/>
                <w:sz w:val="30"/>
                <w:szCs w:val="30"/>
                <w:lang w:eastAsia="zh-CN"/>
              </w:rPr>
              <w:t>6.病历质量</w:t>
            </w:r>
          </w:p>
        </w:tc>
        <w:tc>
          <w:tcPr>
            <w:tcW w:w="5039" w:type="dxa"/>
            <w:tcBorders>
              <w:top w:val="single" w:color="000000" w:sz="8" w:space="0"/>
              <w:left w:val="single" w:color="000000" w:sz="8" w:space="0"/>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r>
              <w:rPr>
                <w:rFonts w:hint="default" w:ascii="仿宋" w:hAnsi="仿宋" w:eastAsia="仿宋" w:cs="仿宋"/>
                <w:color w:val="000000"/>
                <w:sz w:val="30"/>
                <w:szCs w:val="30"/>
                <w:lang w:eastAsia="zh-CN"/>
              </w:rPr>
              <w:t>6.1</w:t>
            </w:r>
            <w:r>
              <w:rPr>
                <w:rFonts w:hint="eastAsia" w:ascii="仿宋" w:hAnsi="仿宋" w:eastAsia="仿宋" w:cs="仿宋"/>
                <w:color w:val="000000"/>
                <w:sz w:val="30"/>
                <w:szCs w:val="30"/>
                <w:lang w:val="en-US" w:eastAsia="zh-CN"/>
              </w:rPr>
              <w:t xml:space="preserve"> </w:t>
            </w:r>
            <w:r>
              <w:rPr>
                <w:rFonts w:hint="default" w:ascii="仿宋" w:hAnsi="仿宋" w:eastAsia="仿宋" w:cs="仿宋"/>
                <w:color w:val="000000"/>
                <w:sz w:val="30"/>
                <w:szCs w:val="30"/>
                <w:lang w:eastAsia="zh-CN"/>
              </w:rPr>
              <w:t>门诊病历电子化比例</w:t>
            </w:r>
          </w:p>
        </w:tc>
        <w:tc>
          <w:tcPr>
            <w:tcW w:w="1529" w:type="dxa"/>
            <w:tcBorders>
              <w:top w:val="single" w:color="000000" w:sz="8" w:space="0"/>
              <w:left w:val="single" w:color="000000" w:sz="8" w:space="0"/>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r>
              <w:rPr>
                <w:rFonts w:hint="default" w:ascii="仿宋" w:hAnsi="仿宋" w:eastAsia="仿宋" w:cs="仿宋"/>
                <w:color w:val="000000"/>
                <w:sz w:val="30"/>
                <w:szCs w:val="30"/>
                <w:lang w:eastAsia="zh-CN"/>
              </w:rPr>
              <w:t>逐步升高</w:t>
            </w:r>
          </w:p>
        </w:tc>
        <w:tc>
          <w:tcPr>
            <w:tcW w:w="4772" w:type="dxa"/>
            <w:vMerge w:val="restart"/>
            <w:tcBorders>
              <w:top w:val="single" w:color="000000" w:sz="8" w:space="0"/>
              <w:left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病案管理、门诊、急诊等质控中心</w:t>
            </w:r>
          </w:p>
        </w:tc>
      </w:tr>
      <w:tr>
        <w:tblPrEx>
          <w:tblCellMar>
            <w:top w:w="0" w:type="dxa"/>
            <w:left w:w="108" w:type="dxa"/>
            <w:bottom w:w="0" w:type="dxa"/>
            <w:right w:w="108" w:type="dxa"/>
          </w:tblCellMar>
        </w:tblPrEx>
        <w:trPr>
          <w:trHeight w:val="600" w:hRule="atLeast"/>
        </w:trPr>
        <w:tc>
          <w:tcPr>
            <w:tcW w:w="995" w:type="dxa"/>
            <w:tcBorders>
              <w:top w:val="single" w:color="000000" w:sz="8" w:space="0"/>
              <w:left w:val="single" w:color="000000" w:sz="8" w:space="0"/>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37</w:t>
            </w:r>
          </w:p>
        </w:tc>
        <w:tc>
          <w:tcPr>
            <w:tcW w:w="2490"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p>
        </w:tc>
        <w:tc>
          <w:tcPr>
            <w:tcW w:w="5039" w:type="dxa"/>
            <w:tcBorders>
              <w:top w:val="single" w:color="000000" w:sz="8" w:space="0"/>
              <w:left w:val="single" w:color="000000" w:sz="8" w:space="0"/>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r>
              <w:rPr>
                <w:rFonts w:hint="default" w:ascii="仿宋" w:hAnsi="仿宋" w:eastAsia="仿宋" w:cs="仿宋"/>
                <w:color w:val="000000"/>
                <w:sz w:val="30"/>
                <w:szCs w:val="30"/>
                <w:lang w:eastAsia="zh-CN"/>
              </w:rPr>
              <w:t>6.2</w:t>
            </w:r>
            <w:r>
              <w:rPr>
                <w:rFonts w:hint="eastAsia" w:ascii="仿宋" w:hAnsi="仿宋" w:eastAsia="仿宋" w:cs="仿宋"/>
                <w:color w:val="000000"/>
                <w:sz w:val="30"/>
                <w:szCs w:val="30"/>
                <w:lang w:val="en-US" w:eastAsia="zh-CN"/>
              </w:rPr>
              <w:t xml:space="preserve"> </w:t>
            </w:r>
            <w:r>
              <w:rPr>
                <w:rFonts w:hint="default" w:ascii="仿宋" w:hAnsi="仿宋" w:eastAsia="仿宋" w:cs="仿宋"/>
                <w:color w:val="000000"/>
                <w:sz w:val="30"/>
                <w:szCs w:val="30"/>
                <w:lang w:eastAsia="zh-CN"/>
              </w:rPr>
              <w:t>门诊结构化病历使用比例</w:t>
            </w:r>
          </w:p>
        </w:tc>
        <w:tc>
          <w:tcPr>
            <w:tcW w:w="1529" w:type="dxa"/>
            <w:tcBorders>
              <w:top w:val="single" w:color="000000" w:sz="8" w:space="0"/>
              <w:left w:val="single" w:color="000000" w:sz="8" w:space="0"/>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r>
              <w:rPr>
                <w:rFonts w:hint="default" w:ascii="仿宋" w:hAnsi="仿宋" w:eastAsia="仿宋" w:cs="仿宋"/>
                <w:color w:val="000000"/>
                <w:sz w:val="30"/>
                <w:szCs w:val="30"/>
                <w:lang w:eastAsia="zh-CN"/>
              </w:rPr>
              <w:t>逐步升高</w:t>
            </w:r>
          </w:p>
        </w:tc>
        <w:tc>
          <w:tcPr>
            <w:tcW w:w="4772" w:type="dxa"/>
            <w:vMerge w:val="continue"/>
            <w:tcBorders>
              <w:left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p>
        </w:tc>
      </w:tr>
      <w:tr>
        <w:tblPrEx>
          <w:tblCellMar>
            <w:top w:w="0" w:type="dxa"/>
            <w:left w:w="108" w:type="dxa"/>
            <w:bottom w:w="0" w:type="dxa"/>
            <w:right w:w="108" w:type="dxa"/>
          </w:tblCellMar>
        </w:tblPrEx>
        <w:trPr>
          <w:trHeight w:val="600" w:hRule="atLeast"/>
        </w:trPr>
        <w:tc>
          <w:tcPr>
            <w:tcW w:w="995" w:type="dxa"/>
            <w:tcBorders>
              <w:top w:val="single" w:color="000000" w:sz="8" w:space="0"/>
              <w:left w:val="single" w:color="000000" w:sz="8" w:space="0"/>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38</w:t>
            </w:r>
          </w:p>
        </w:tc>
        <w:tc>
          <w:tcPr>
            <w:tcW w:w="2490"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p>
        </w:tc>
        <w:tc>
          <w:tcPr>
            <w:tcW w:w="5039" w:type="dxa"/>
            <w:tcBorders>
              <w:top w:val="single" w:color="000000" w:sz="8" w:space="0"/>
              <w:left w:val="nil"/>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r>
              <w:rPr>
                <w:rFonts w:hint="default" w:ascii="仿宋" w:hAnsi="仿宋" w:eastAsia="仿宋" w:cs="仿宋"/>
                <w:color w:val="000000"/>
                <w:sz w:val="30"/>
                <w:szCs w:val="30"/>
                <w:lang w:eastAsia="zh-CN"/>
              </w:rPr>
              <w:t>6.3</w:t>
            </w:r>
            <w:r>
              <w:rPr>
                <w:rFonts w:hint="eastAsia" w:ascii="仿宋" w:hAnsi="仿宋" w:eastAsia="仿宋" w:cs="仿宋"/>
                <w:color w:val="000000"/>
                <w:sz w:val="30"/>
                <w:szCs w:val="30"/>
                <w:lang w:val="en-US" w:eastAsia="zh-CN"/>
              </w:rPr>
              <w:t xml:space="preserve"> </w:t>
            </w:r>
            <w:r>
              <w:rPr>
                <w:rFonts w:hint="default" w:ascii="仿宋" w:hAnsi="仿宋" w:eastAsia="仿宋" w:cs="仿宋"/>
                <w:color w:val="000000"/>
                <w:sz w:val="30"/>
                <w:szCs w:val="30"/>
                <w:lang w:eastAsia="zh-CN"/>
              </w:rPr>
              <w:t>病案首页主要诊断编码正确率</w:t>
            </w:r>
          </w:p>
        </w:tc>
        <w:tc>
          <w:tcPr>
            <w:tcW w:w="1529" w:type="dxa"/>
            <w:tcBorders>
              <w:top w:val="single" w:color="000000" w:sz="8" w:space="0"/>
              <w:left w:val="nil"/>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r>
              <w:rPr>
                <w:rFonts w:hint="default" w:ascii="仿宋" w:hAnsi="仿宋" w:eastAsia="仿宋" w:cs="仿宋"/>
                <w:color w:val="000000"/>
                <w:sz w:val="30"/>
                <w:szCs w:val="30"/>
                <w:lang w:eastAsia="zh-CN"/>
              </w:rPr>
              <w:t>逐步升高</w:t>
            </w:r>
          </w:p>
        </w:tc>
        <w:tc>
          <w:tcPr>
            <w:tcW w:w="4772" w:type="dxa"/>
            <w:vMerge w:val="continue"/>
            <w:tcBorders>
              <w:left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p>
        </w:tc>
      </w:tr>
      <w:tr>
        <w:tblPrEx>
          <w:tblCellMar>
            <w:top w:w="0" w:type="dxa"/>
            <w:left w:w="108" w:type="dxa"/>
            <w:bottom w:w="0" w:type="dxa"/>
            <w:right w:w="108" w:type="dxa"/>
          </w:tblCellMar>
        </w:tblPrEx>
        <w:trPr>
          <w:trHeight w:val="600" w:hRule="atLeast"/>
        </w:trPr>
        <w:tc>
          <w:tcPr>
            <w:tcW w:w="995" w:type="dxa"/>
            <w:tcBorders>
              <w:top w:val="nil"/>
              <w:left w:val="single" w:color="000000" w:sz="8" w:space="0"/>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39</w:t>
            </w:r>
          </w:p>
        </w:tc>
        <w:tc>
          <w:tcPr>
            <w:tcW w:w="2490"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p>
        </w:tc>
        <w:tc>
          <w:tcPr>
            <w:tcW w:w="5039" w:type="dxa"/>
            <w:tcBorders>
              <w:top w:val="nil"/>
              <w:left w:val="nil"/>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r>
              <w:rPr>
                <w:rFonts w:hint="default" w:ascii="仿宋" w:hAnsi="仿宋" w:eastAsia="仿宋" w:cs="仿宋"/>
                <w:color w:val="000000"/>
                <w:sz w:val="30"/>
                <w:szCs w:val="30"/>
                <w:lang w:eastAsia="zh-CN"/>
              </w:rPr>
              <w:t>6.4</w:t>
            </w:r>
            <w:r>
              <w:rPr>
                <w:rFonts w:hint="eastAsia" w:ascii="仿宋" w:hAnsi="仿宋" w:eastAsia="仿宋" w:cs="仿宋"/>
                <w:color w:val="000000"/>
                <w:sz w:val="30"/>
                <w:szCs w:val="30"/>
                <w:lang w:val="en-US" w:eastAsia="zh-CN"/>
              </w:rPr>
              <w:t xml:space="preserve"> </w:t>
            </w:r>
            <w:r>
              <w:rPr>
                <w:rFonts w:hint="default" w:ascii="仿宋" w:hAnsi="仿宋" w:eastAsia="仿宋" w:cs="仿宋"/>
                <w:color w:val="000000"/>
                <w:sz w:val="30"/>
                <w:szCs w:val="30"/>
                <w:lang w:eastAsia="zh-CN"/>
              </w:rPr>
              <w:t>病历记录及时性</w:t>
            </w:r>
          </w:p>
        </w:tc>
        <w:tc>
          <w:tcPr>
            <w:tcW w:w="1529" w:type="dxa"/>
            <w:tcBorders>
              <w:top w:val="nil"/>
              <w:left w:val="nil"/>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r>
              <w:rPr>
                <w:rFonts w:hint="default" w:ascii="仿宋" w:hAnsi="仿宋" w:eastAsia="仿宋" w:cs="仿宋"/>
                <w:color w:val="000000"/>
                <w:sz w:val="30"/>
                <w:szCs w:val="30"/>
                <w:lang w:eastAsia="zh-CN"/>
              </w:rPr>
              <w:t>逐步升高</w:t>
            </w:r>
          </w:p>
        </w:tc>
        <w:tc>
          <w:tcPr>
            <w:tcW w:w="4772" w:type="dxa"/>
            <w:vMerge w:val="continue"/>
            <w:tcBorders>
              <w:left w:val="single" w:color="000000" w:sz="8" w:space="0"/>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p>
        </w:tc>
      </w:tr>
      <w:tr>
        <w:tblPrEx>
          <w:tblCellMar>
            <w:top w:w="0" w:type="dxa"/>
            <w:left w:w="108" w:type="dxa"/>
            <w:bottom w:w="0" w:type="dxa"/>
            <w:right w:w="108" w:type="dxa"/>
          </w:tblCellMar>
        </w:tblPrEx>
        <w:trPr>
          <w:trHeight w:val="554" w:hRule="atLeast"/>
        </w:trPr>
        <w:tc>
          <w:tcPr>
            <w:tcW w:w="995" w:type="dxa"/>
            <w:tcBorders>
              <w:top w:val="nil"/>
              <w:left w:val="single" w:color="000000" w:sz="8" w:space="0"/>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40</w:t>
            </w:r>
          </w:p>
        </w:tc>
        <w:tc>
          <w:tcPr>
            <w:tcW w:w="2490"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p>
        </w:tc>
        <w:tc>
          <w:tcPr>
            <w:tcW w:w="5039" w:type="dxa"/>
            <w:tcBorders>
              <w:top w:val="nil"/>
              <w:left w:val="nil"/>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r>
              <w:rPr>
                <w:rFonts w:hint="default" w:ascii="仿宋" w:hAnsi="仿宋" w:eastAsia="仿宋" w:cs="仿宋"/>
                <w:color w:val="000000"/>
                <w:sz w:val="30"/>
                <w:szCs w:val="30"/>
                <w:lang w:eastAsia="zh-CN"/>
              </w:rPr>
              <w:t>6.5</w:t>
            </w:r>
            <w:r>
              <w:rPr>
                <w:rFonts w:hint="eastAsia" w:ascii="仿宋" w:hAnsi="仿宋" w:eastAsia="仿宋" w:cs="仿宋"/>
                <w:color w:val="000000"/>
                <w:sz w:val="30"/>
                <w:szCs w:val="30"/>
                <w:lang w:val="en-US" w:eastAsia="zh-CN"/>
              </w:rPr>
              <w:t xml:space="preserve"> </w:t>
            </w:r>
            <w:r>
              <w:rPr>
                <w:rFonts w:hint="default" w:ascii="仿宋" w:hAnsi="仿宋" w:eastAsia="仿宋" w:cs="仿宋"/>
                <w:color w:val="000000"/>
                <w:sz w:val="30"/>
                <w:szCs w:val="30"/>
                <w:lang w:eastAsia="zh-CN"/>
              </w:rPr>
              <w:t>全国百佳病案入选情况</w:t>
            </w:r>
          </w:p>
        </w:tc>
        <w:tc>
          <w:tcPr>
            <w:tcW w:w="1529" w:type="dxa"/>
            <w:tcBorders>
              <w:top w:val="nil"/>
              <w:left w:val="nil"/>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r>
              <w:rPr>
                <w:rFonts w:hint="default" w:ascii="仿宋" w:hAnsi="仿宋" w:eastAsia="仿宋" w:cs="仿宋"/>
                <w:color w:val="000000"/>
                <w:sz w:val="30"/>
                <w:szCs w:val="30"/>
                <w:lang w:eastAsia="zh-CN"/>
              </w:rPr>
              <w:t>/</w:t>
            </w:r>
          </w:p>
        </w:tc>
        <w:tc>
          <w:tcPr>
            <w:tcW w:w="4772" w:type="dxa"/>
            <w:tcBorders>
              <w:top w:val="nil"/>
              <w:left w:val="nil"/>
              <w:bottom w:val="single" w:color="000000" w:sz="8" w:space="0"/>
              <w:right w:val="single" w:color="000000" w:sz="8" w:space="0"/>
            </w:tcBorders>
            <w:noWrap w:val="0"/>
            <w:vAlign w:val="center"/>
          </w:tcPr>
          <w:p>
            <w:pPr>
              <w:widowControl/>
              <w:textAlignment w:val="center"/>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卫生健康行政部门</w:t>
            </w:r>
          </w:p>
          <w:p>
            <w:pPr>
              <w:widowControl/>
              <w:textAlignment w:val="center"/>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病案管理质控中心</w:t>
            </w:r>
          </w:p>
        </w:tc>
      </w:tr>
    </w:tbl>
    <w:p>
      <w:pPr>
        <w:widowControl/>
        <w:textAlignment w:val="center"/>
        <w:rPr>
          <w:rFonts w:hint="eastAsia" w:ascii="仿宋" w:hAnsi="仿宋" w:eastAsia="仿宋" w:cs="仿宋"/>
          <w:color w:val="000000"/>
          <w:sz w:val="30"/>
          <w:szCs w:val="30"/>
          <w:lang w:eastAsia="zh-CN"/>
        </w:rPr>
      </w:pPr>
    </w:p>
    <w:p>
      <w:pPr>
        <w:rPr>
          <w:rFonts w:hint="default"/>
          <w:b w:val="0"/>
          <w:bCs w:val="0"/>
          <w:color w:val="auto"/>
          <w:sz w:val="32"/>
          <w:szCs w:val="32"/>
          <w:highlight w:val="none"/>
          <w:lang w:val="en-US" w:eastAsia="zh-CN"/>
        </w:rPr>
      </w:pPr>
    </w:p>
    <w:sectPr>
      <w:pgSz w:w="16838" w:h="11906" w:orient="landscape"/>
      <w:pgMar w:top="1134" w:right="1474" w:bottom="113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wYzZkZjcxOTU5YjAzYjA2OThhZDViMjA2MmEzYWMifQ=="/>
  </w:docVars>
  <w:rsids>
    <w:rsidRoot w:val="00000000"/>
    <w:rsid w:val="005C1385"/>
    <w:rsid w:val="01382DF1"/>
    <w:rsid w:val="0250441F"/>
    <w:rsid w:val="02FC0103"/>
    <w:rsid w:val="03465822"/>
    <w:rsid w:val="03483348"/>
    <w:rsid w:val="036F6F40"/>
    <w:rsid w:val="037A40C6"/>
    <w:rsid w:val="037D482C"/>
    <w:rsid w:val="03D41080"/>
    <w:rsid w:val="03DC3DD9"/>
    <w:rsid w:val="042B64D1"/>
    <w:rsid w:val="042E77DA"/>
    <w:rsid w:val="04433DAE"/>
    <w:rsid w:val="05E72270"/>
    <w:rsid w:val="05EE467B"/>
    <w:rsid w:val="06F27CBD"/>
    <w:rsid w:val="06FC6923"/>
    <w:rsid w:val="07E63ACD"/>
    <w:rsid w:val="07FE01B7"/>
    <w:rsid w:val="084F6F27"/>
    <w:rsid w:val="08A2799E"/>
    <w:rsid w:val="091066B6"/>
    <w:rsid w:val="09261A44"/>
    <w:rsid w:val="097D4D63"/>
    <w:rsid w:val="0AB319EF"/>
    <w:rsid w:val="0B5519C9"/>
    <w:rsid w:val="0BD250BC"/>
    <w:rsid w:val="0BFB4D87"/>
    <w:rsid w:val="0C1069CD"/>
    <w:rsid w:val="0C3703FE"/>
    <w:rsid w:val="0CAA0BCF"/>
    <w:rsid w:val="0CB87790"/>
    <w:rsid w:val="0CEF25E0"/>
    <w:rsid w:val="0D2210AE"/>
    <w:rsid w:val="0D5154EF"/>
    <w:rsid w:val="0D5C5C12"/>
    <w:rsid w:val="0DCE4513"/>
    <w:rsid w:val="0E7A2EE7"/>
    <w:rsid w:val="0EC00B7E"/>
    <w:rsid w:val="0F190FAD"/>
    <w:rsid w:val="0F2C4B67"/>
    <w:rsid w:val="0F694D72"/>
    <w:rsid w:val="0F8E26B0"/>
    <w:rsid w:val="0FA61FE4"/>
    <w:rsid w:val="0FAA37F5"/>
    <w:rsid w:val="0FAE6C29"/>
    <w:rsid w:val="11737056"/>
    <w:rsid w:val="11B16852"/>
    <w:rsid w:val="11FE9116"/>
    <w:rsid w:val="126D6927"/>
    <w:rsid w:val="12816876"/>
    <w:rsid w:val="12955E7E"/>
    <w:rsid w:val="12CD386A"/>
    <w:rsid w:val="12D2223E"/>
    <w:rsid w:val="13C221AE"/>
    <w:rsid w:val="13DA623E"/>
    <w:rsid w:val="14003151"/>
    <w:rsid w:val="14344F8E"/>
    <w:rsid w:val="14636234"/>
    <w:rsid w:val="1505553D"/>
    <w:rsid w:val="150572EB"/>
    <w:rsid w:val="15A46B04"/>
    <w:rsid w:val="16DEF1F0"/>
    <w:rsid w:val="170A508C"/>
    <w:rsid w:val="176478D1"/>
    <w:rsid w:val="17820FAE"/>
    <w:rsid w:val="187421FC"/>
    <w:rsid w:val="18813AC9"/>
    <w:rsid w:val="18CE3E98"/>
    <w:rsid w:val="198F3627"/>
    <w:rsid w:val="19A277FE"/>
    <w:rsid w:val="19CB1851"/>
    <w:rsid w:val="1A6A1731"/>
    <w:rsid w:val="1A8F34FB"/>
    <w:rsid w:val="1B4641B9"/>
    <w:rsid w:val="1B6F54BE"/>
    <w:rsid w:val="1BE37C5A"/>
    <w:rsid w:val="1C4C4800"/>
    <w:rsid w:val="1C8C02F2"/>
    <w:rsid w:val="1CD557F5"/>
    <w:rsid w:val="1D5D40A8"/>
    <w:rsid w:val="1D7019C1"/>
    <w:rsid w:val="1D816169"/>
    <w:rsid w:val="1D8D0BE7"/>
    <w:rsid w:val="1DE5170A"/>
    <w:rsid w:val="1E4A0464"/>
    <w:rsid w:val="1F0D63AC"/>
    <w:rsid w:val="1F1954A8"/>
    <w:rsid w:val="1F5C21FD"/>
    <w:rsid w:val="20360CA0"/>
    <w:rsid w:val="205B215F"/>
    <w:rsid w:val="20682F33"/>
    <w:rsid w:val="20766E26"/>
    <w:rsid w:val="211508B6"/>
    <w:rsid w:val="226D4721"/>
    <w:rsid w:val="22813D29"/>
    <w:rsid w:val="22A75C10"/>
    <w:rsid w:val="22AF4D3A"/>
    <w:rsid w:val="237A70F6"/>
    <w:rsid w:val="23BD5235"/>
    <w:rsid w:val="23C257B6"/>
    <w:rsid w:val="24155071"/>
    <w:rsid w:val="242760A3"/>
    <w:rsid w:val="24863878"/>
    <w:rsid w:val="24B403E6"/>
    <w:rsid w:val="25A81F9E"/>
    <w:rsid w:val="2661634B"/>
    <w:rsid w:val="275C3B14"/>
    <w:rsid w:val="278E123A"/>
    <w:rsid w:val="27A6495D"/>
    <w:rsid w:val="27DB6FCF"/>
    <w:rsid w:val="2852419D"/>
    <w:rsid w:val="286F11F3"/>
    <w:rsid w:val="28CD5F1A"/>
    <w:rsid w:val="29373393"/>
    <w:rsid w:val="299B1D3E"/>
    <w:rsid w:val="2A481CFC"/>
    <w:rsid w:val="2ABDD0C8"/>
    <w:rsid w:val="2C33078A"/>
    <w:rsid w:val="2C630D27"/>
    <w:rsid w:val="2CA40EFC"/>
    <w:rsid w:val="2CFD5F6E"/>
    <w:rsid w:val="2D1229D8"/>
    <w:rsid w:val="2DFD2DFD"/>
    <w:rsid w:val="2E4333CA"/>
    <w:rsid w:val="2E761D91"/>
    <w:rsid w:val="2EAC31F1"/>
    <w:rsid w:val="2ED765A7"/>
    <w:rsid w:val="2EE951FB"/>
    <w:rsid w:val="2F6B3D97"/>
    <w:rsid w:val="2F9257C7"/>
    <w:rsid w:val="2FA36B66"/>
    <w:rsid w:val="2FDD63FB"/>
    <w:rsid w:val="2FFBF045"/>
    <w:rsid w:val="307577AD"/>
    <w:rsid w:val="30BA6D84"/>
    <w:rsid w:val="31DB3455"/>
    <w:rsid w:val="31F35DD7"/>
    <w:rsid w:val="325356E2"/>
    <w:rsid w:val="326C2300"/>
    <w:rsid w:val="32780CA4"/>
    <w:rsid w:val="32963820"/>
    <w:rsid w:val="332B5886"/>
    <w:rsid w:val="335C4122"/>
    <w:rsid w:val="3361798A"/>
    <w:rsid w:val="33841F9D"/>
    <w:rsid w:val="33C543BD"/>
    <w:rsid w:val="348778C5"/>
    <w:rsid w:val="34A064CC"/>
    <w:rsid w:val="34E54F58"/>
    <w:rsid w:val="34EF7DCF"/>
    <w:rsid w:val="36951FA9"/>
    <w:rsid w:val="369D0C40"/>
    <w:rsid w:val="36BB1AA7"/>
    <w:rsid w:val="371C71B3"/>
    <w:rsid w:val="37313B18"/>
    <w:rsid w:val="373D24BC"/>
    <w:rsid w:val="37944C82"/>
    <w:rsid w:val="37DD9EF1"/>
    <w:rsid w:val="37FB0241"/>
    <w:rsid w:val="37FB738E"/>
    <w:rsid w:val="37FE5676"/>
    <w:rsid w:val="383E029A"/>
    <w:rsid w:val="39A83484"/>
    <w:rsid w:val="39AB297D"/>
    <w:rsid w:val="39E62997"/>
    <w:rsid w:val="39F30865"/>
    <w:rsid w:val="39FC665F"/>
    <w:rsid w:val="39FDAAF4"/>
    <w:rsid w:val="3AB27EA5"/>
    <w:rsid w:val="3AB52DB4"/>
    <w:rsid w:val="3B2C4D22"/>
    <w:rsid w:val="3B3F5D44"/>
    <w:rsid w:val="3B4C2CCE"/>
    <w:rsid w:val="3B783AC3"/>
    <w:rsid w:val="3B7921C4"/>
    <w:rsid w:val="3BCDC584"/>
    <w:rsid w:val="3BD64DD3"/>
    <w:rsid w:val="3BEFFE2B"/>
    <w:rsid w:val="3BF7B152"/>
    <w:rsid w:val="3C793F97"/>
    <w:rsid w:val="3C7E335B"/>
    <w:rsid w:val="3CFB2A75"/>
    <w:rsid w:val="3D483969"/>
    <w:rsid w:val="3DAD81FB"/>
    <w:rsid w:val="3DC723AD"/>
    <w:rsid w:val="3DFC6C82"/>
    <w:rsid w:val="3DFFAEBF"/>
    <w:rsid w:val="3E2714B0"/>
    <w:rsid w:val="3E7DC659"/>
    <w:rsid w:val="3E86719B"/>
    <w:rsid w:val="3EC037A5"/>
    <w:rsid w:val="3EDC6A5F"/>
    <w:rsid w:val="3EF9316D"/>
    <w:rsid w:val="3EFF4CB4"/>
    <w:rsid w:val="3F2F719E"/>
    <w:rsid w:val="3F3FA4A9"/>
    <w:rsid w:val="3F5860E5"/>
    <w:rsid w:val="3F5B5BB0"/>
    <w:rsid w:val="3F5E2D7D"/>
    <w:rsid w:val="3F86295C"/>
    <w:rsid w:val="3F87612A"/>
    <w:rsid w:val="3FBE22DD"/>
    <w:rsid w:val="3FBEC6DB"/>
    <w:rsid w:val="3FEE96A9"/>
    <w:rsid w:val="3FFF6463"/>
    <w:rsid w:val="3FFF6EF0"/>
    <w:rsid w:val="401153F6"/>
    <w:rsid w:val="41412BA9"/>
    <w:rsid w:val="41AA3A78"/>
    <w:rsid w:val="41C8403B"/>
    <w:rsid w:val="41D13F2D"/>
    <w:rsid w:val="41E404D8"/>
    <w:rsid w:val="42206C63"/>
    <w:rsid w:val="42672B16"/>
    <w:rsid w:val="43715DB5"/>
    <w:rsid w:val="43B41D58"/>
    <w:rsid w:val="43F24833"/>
    <w:rsid w:val="43F83519"/>
    <w:rsid w:val="44193508"/>
    <w:rsid w:val="44223166"/>
    <w:rsid w:val="44FF728D"/>
    <w:rsid w:val="457479F1"/>
    <w:rsid w:val="458F33E6"/>
    <w:rsid w:val="45D071EC"/>
    <w:rsid w:val="460E4D61"/>
    <w:rsid w:val="46794B93"/>
    <w:rsid w:val="46EA1BC3"/>
    <w:rsid w:val="47841A42"/>
    <w:rsid w:val="47E448EF"/>
    <w:rsid w:val="4828061F"/>
    <w:rsid w:val="48684EBF"/>
    <w:rsid w:val="490303C1"/>
    <w:rsid w:val="49282FCC"/>
    <w:rsid w:val="497C6E74"/>
    <w:rsid w:val="498413E9"/>
    <w:rsid w:val="49867CF3"/>
    <w:rsid w:val="49892BD4"/>
    <w:rsid w:val="49F47A9B"/>
    <w:rsid w:val="4A1C41B3"/>
    <w:rsid w:val="4A8A08E2"/>
    <w:rsid w:val="4AC16211"/>
    <w:rsid w:val="4AF33166"/>
    <w:rsid w:val="4B751DCD"/>
    <w:rsid w:val="4BC7B33C"/>
    <w:rsid w:val="4BEA08BA"/>
    <w:rsid w:val="4C171AA0"/>
    <w:rsid w:val="4C786019"/>
    <w:rsid w:val="4C9671D3"/>
    <w:rsid w:val="4D0E4287"/>
    <w:rsid w:val="4D7A7B6F"/>
    <w:rsid w:val="4D9329DF"/>
    <w:rsid w:val="4D9C5D37"/>
    <w:rsid w:val="4DB43081"/>
    <w:rsid w:val="4DBF1A26"/>
    <w:rsid w:val="4DF64286"/>
    <w:rsid w:val="4E6D3230"/>
    <w:rsid w:val="4F5E3F52"/>
    <w:rsid w:val="4F5FD27D"/>
    <w:rsid w:val="4F5FFEAB"/>
    <w:rsid w:val="4F8B2738"/>
    <w:rsid w:val="4FBF7ABB"/>
    <w:rsid w:val="4FCF337B"/>
    <w:rsid w:val="4FDFEF52"/>
    <w:rsid w:val="4FE75C8D"/>
    <w:rsid w:val="4FFBCE27"/>
    <w:rsid w:val="4FFF6A5C"/>
    <w:rsid w:val="500B2D00"/>
    <w:rsid w:val="50593A6B"/>
    <w:rsid w:val="50C03AEB"/>
    <w:rsid w:val="50E27F05"/>
    <w:rsid w:val="50F419E6"/>
    <w:rsid w:val="510A120A"/>
    <w:rsid w:val="521A722A"/>
    <w:rsid w:val="521C11F4"/>
    <w:rsid w:val="52CA425E"/>
    <w:rsid w:val="52CF270B"/>
    <w:rsid w:val="52E02222"/>
    <w:rsid w:val="52EF06B7"/>
    <w:rsid w:val="54161C73"/>
    <w:rsid w:val="54424EA8"/>
    <w:rsid w:val="544F52CD"/>
    <w:rsid w:val="55747599"/>
    <w:rsid w:val="55825D5A"/>
    <w:rsid w:val="55AE60F9"/>
    <w:rsid w:val="55FE8A36"/>
    <w:rsid w:val="56510530"/>
    <w:rsid w:val="56F3A19D"/>
    <w:rsid w:val="57640101"/>
    <w:rsid w:val="5778E58B"/>
    <w:rsid w:val="57AA72A2"/>
    <w:rsid w:val="57F27CB2"/>
    <w:rsid w:val="58B8154B"/>
    <w:rsid w:val="58C35075"/>
    <w:rsid w:val="59C504A5"/>
    <w:rsid w:val="5A166705"/>
    <w:rsid w:val="5A57203E"/>
    <w:rsid w:val="5A7A2F5C"/>
    <w:rsid w:val="5A8E07B6"/>
    <w:rsid w:val="5ADC7773"/>
    <w:rsid w:val="5B4A3B80"/>
    <w:rsid w:val="5BAF484F"/>
    <w:rsid w:val="5BAF6C35"/>
    <w:rsid w:val="5BD64B89"/>
    <w:rsid w:val="5BDE2BC0"/>
    <w:rsid w:val="5BF46D3E"/>
    <w:rsid w:val="5BF52557"/>
    <w:rsid w:val="5C922C44"/>
    <w:rsid w:val="5CAE15E3"/>
    <w:rsid w:val="5CAE4F28"/>
    <w:rsid w:val="5CEB95B1"/>
    <w:rsid w:val="5CF74D38"/>
    <w:rsid w:val="5D1D4073"/>
    <w:rsid w:val="5D5A52C7"/>
    <w:rsid w:val="5D7F4DBA"/>
    <w:rsid w:val="5DDF8C78"/>
    <w:rsid w:val="5DFCAD40"/>
    <w:rsid w:val="5E145476"/>
    <w:rsid w:val="5E7E6910"/>
    <w:rsid w:val="5E7F0BF7"/>
    <w:rsid w:val="5EE320C1"/>
    <w:rsid w:val="5F7EFE1D"/>
    <w:rsid w:val="5FB42795"/>
    <w:rsid w:val="5FDFA951"/>
    <w:rsid w:val="5FFEF166"/>
    <w:rsid w:val="5FFFCF94"/>
    <w:rsid w:val="5FFFE82C"/>
    <w:rsid w:val="600A5324"/>
    <w:rsid w:val="60DA0BF8"/>
    <w:rsid w:val="61137C66"/>
    <w:rsid w:val="61195732"/>
    <w:rsid w:val="618D5C6B"/>
    <w:rsid w:val="619A0388"/>
    <w:rsid w:val="619F14FA"/>
    <w:rsid w:val="61DF0A9B"/>
    <w:rsid w:val="61FE77D9"/>
    <w:rsid w:val="627D7A8D"/>
    <w:rsid w:val="62C97DCC"/>
    <w:rsid w:val="62F15D85"/>
    <w:rsid w:val="63790222"/>
    <w:rsid w:val="637C1C54"/>
    <w:rsid w:val="63DF1314"/>
    <w:rsid w:val="64281F19"/>
    <w:rsid w:val="64FC6CE3"/>
    <w:rsid w:val="651046A9"/>
    <w:rsid w:val="652363B0"/>
    <w:rsid w:val="65273CE0"/>
    <w:rsid w:val="653463FD"/>
    <w:rsid w:val="65556AA0"/>
    <w:rsid w:val="656071F2"/>
    <w:rsid w:val="658904F7"/>
    <w:rsid w:val="65BA4B55"/>
    <w:rsid w:val="65DA3D41"/>
    <w:rsid w:val="65FF5468"/>
    <w:rsid w:val="665F74AA"/>
    <w:rsid w:val="667FB73E"/>
    <w:rsid w:val="668F4233"/>
    <w:rsid w:val="66967370"/>
    <w:rsid w:val="66A23AB0"/>
    <w:rsid w:val="66AD6467"/>
    <w:rsid w:val="66CA5405"/>
    <w:rsid w:val="66EC01EF"/>
    <w:rsid w:val="67D3568D"/>
    <w:rsid w:val="68064081"/>
    <w:rsid w:val="68564BE6"/>
    <w:rsid w:val="68D423D1"/>
    <w:rsid w:val="68FB526E"/>
    <w:rsid w:val="69B56C90"/>
    <w:rsid w:val="6A425452"/>
    <w:rsid w:val="6B1625E4"/>
    <w:rsid w:val="6B623CC4"/>
    <w:rsid w:val="6B6E3BE6"/>
    <w:rsid w:val="6B7A2CDF"/>
    <w:rsid w:val="6BEC6A90"/>
    <w:rsid w:val="6BFC63C9"/>
    <w:rsid w:val="6C382C77"/>
    <w:rsid w:val="6C7EBDC3"/>
    <w:rsid w:val="6CD04C5E"/>
    <w:rsid w:val="6CDA5ADC"/>
    <w:rsid w:val="6CEF133E"/>
    <w:rsid w:val="6D275659"/>
    <w:rsid w:val="6D2E358B"/>
    <w:rsid w:val="6D4F6C4C"/>
    <w:rsid w:val="6D631F6A"/>
    <w:rsid w:val="6DCE53C5"/>
    <w:rsid w:val="6DDB58E0"/>
    <w:rsid w:val="6E494CC8"/>
    <w:rsid w:val="6E4EAD85"/>
    <w:rsid w:val="6E910371"/>
    <w:rsid w:val="6EBFFE61"/>
    <w:rsid w:val="6EC207B5"/>
    <w:rsid w:val="6EEDDB2E"/>
    <w:rsid w:val="6EF46D26"/>
    <w:rsid w:val="6EFB4BC3"/>
    <w:rsid w:val="6EFC3AD4"/>
    <w:rsid w:val="6F9A1B99"/>
    <w:rsid w:val="6FD9D1DD"/>
    <w:rsid w:val="6FDB5DF3"/>
    <w:rsid w:val="6FEFB41B"/>
    <w:rsid w:val="6FFFF0DB"/>
    <w:rsid w:val="71200231"/>
    <w:rsid w:val="717402AD"/>
    <w:rsid w:val="71A0386F"/>
    <w:rsid w:val="72895FDA"/>
    <w:rsid w:val="72C25048"/>
    <w:rsid w:val="72CF80E5"/>
    <w:rsid w:val="72E70F53"/>
    <w:rsid w:val="72FF44EF"/>
    <w:rsid w:val="73404A89"/>
    <w:rsid w:val="735D39B8"/>
    <w:rsid w:val="73740A39"/>
    <w:rsid w:val="73931C9B"/>
    <w:rsid w:val="73B37096"/>
    <w:rsid w:val="73E57241"/>
    <w:rsid w:val="73EA6389"/>
    <w:rsid w:val="73F25E01"/>
    <w:rsid w:val="74E90984"/>
    <w:rsid w:val="7524023C"/>
    <w:rsid w:val="758331B5"/>
    <w:rsid w:val="75EF43A6"/>
    <w:rsid w:val="75F961D1"/>
    <w:rsid w:val="76336DFC"/>
    <w:rsid w:val="763861B5"/>
    <w:rsid w:val="76426F8E"/>
    <w:rsid w:val="76650B0D"/>
    <w:rsid w:val="767F09E1"/>
    <w:rsid w:val="76984A3E"/>
    <w:rsid w:val="76A71125"/>
    <w:rsid w:val="76F459ED"/>
    <w:rsid w:val="77010840"/>
    <w:rsid w:val="77255C31"/>
    <w:rsid w:val="772938E8"/>
    <w:rsid w:val="77BE6726"/>
    <w:rsid w:val="77F260F7"/>
    <w:rsid w:val="780B2674"/>
    <w:rsid w:val="78C80EDF"/>
    <w:rsid w:val="793451C3"/>
    <w:rsid w:val="795409C4"/>
    <w:rsid w:val="796C2621"/>
    <w:rsid w:val="799F630E"/>
    <w:rsid w:val="799F73EA"/>
    <w:rsid w:val="79AF5654"/>
    <w:rsid w:val="79CF2118"/>
    <w:rsid w:val="79D0629D"/>
    <w:rsid w:val="7A1E16FE"/>
    <w:rsid w:val="7A363DBC"/>
    <w:rsid w:val="7A5C5D83"/>
    <w:rsid w:val="7A5E524C"/>
    <w:rsid w:val="7AF71BC6"/>
    <w:rsid w:val="7AF75CB0"/>
    <w:rsid w:val="7BB720D6"/>
    <w:rsid w:val="7BD27829"/>
    <w:rsid w:val="7BF4C384"/>
    <w:rsid w:val="7BF7BDC2"/>
    <w:rsid w:val="7C1C7EBF"/>
    <w:rsid w:val="7C211032"/>
    <w:rsid w:val="7C7F1265"/>
    <w:rsid w:val="7C9B1D8D"/>
    <w:rsid w:val="7CF425FC"/>
    <w:rsid w:val="7D3BB5F6"/>
    <w:rsid w:val="7D3D3EFD"/>
    <w:rsid w:val="7D513B99"/>
    <w:rsid w:val="7D6A07B6"/>
    <w:rsid w:val="7D6E1D05"/>
    <w:rsid w:val="7D7384C7"/>
    <w:rsid w:val="7D9F22AE"/>
    <w:rsid w:val="7DA92B53"/>
    <w:rsid w:val="7DED48BF"/>
    <w:rsid w:val="7DF3CAAE"/>
    <w:rsid w:val="7E7F31C9"/>
    <w:rsid w:val="7E9B9120"/>
    <w:rsid w:val="7EEEB56C"/>
    <w:rsid w:val="7EFE544D"/>
    <w:rsid w:val="7F4E32CD"/>
    <w:rsid w:val="7F65EA53"/>
    <w:rsid w:val="7F7DAABE"/>
    <w:rsid w:val="7F7FC492"/>
    <w:rsid w:val="7F7FFB32"/>
    <w:rsid w:val="7F8E2FB0"/>
    <w:rsid w:val="7F8F0FFD"/>
    <w:rsid w:val="7F8F4042"/>
    <w:rsid w:val="7FBD2826"/>
    <w:rsid w:val="7FBEF0BD"/>
    <w:rsid w:val="7FBF0130"/>
    <w:rsid w:val="7FCAE836"/>
    <w:rsid w:val="7FCB4F80"/>
    <w:rsid w:val="7FD7C1C4"/>
    <w:rsid w:val="7FD99819"/>
    <w:rsid w:val="7FDEC3E9"/>
    <w:rsid w:val="7FDF9B72"/>
    <w:rsid w:val="7FE73B2B"/>
    <w:rsid w:val="7FF5526C"/>
    <w:rsid w:val="7FF741E2"/>
    <w:rsid w:val="7FFA14FF"/>
    <w:rsid w:val="7FFB03A0"/>
    <w:rsid w:val="7FFBA411"/>
    <w:rsid w:val="7FFD332C"/>
    <w:rsid w:val="7FFEB238"/>
    <w:rsid w:val="7FFF4634"/>
    <w:rsid w:val="7FFF7EDB"/>
    <w:rsid w:val="7FFFC06E"/>
    <w:rsid w:val="8F67DFDF"/>
    <w:rsid w:val="957BB927"/>
    <w:rsid w:val="95BE7E85"/>
    <w:rsid w:val="95DE2124"/>
    <w:rsid w:val="95DEEE41"/>
    <w:rsid w:val="964D87FE"/>
    <w:rsid w:val="9EC03151"/>
    <w:rsid w:val="9EFF0F81"/>
    <w:rsid w:val="A4F8737A"/>
    <w:rsid w:val="A77F7198"/>
    <w:rsid w:val="AB6BBB5C"/>
    <w:rsid w:val="AD6FD687"/>
    <w:rsid w:val="AEE9F986"/>
    <w:rsid w:val="AF9FE2A5"/>
    <w:rsid w:val="AFA77152"/>
    <w:rsid w:val="AFBF2681"/>
    <w:rsid w:val="AFF764DE"/>
    <w:rsid w:val="AFFFE912"/>
    <w:rsid w:val="B5F3AB7E"/>
    <w:rsid w:val="B7FF4BF3"/>
    <w:rsid w:val="B8F482A7"/>
    <w:rsid w:val="BBF67A1E"/>
    <w:rsid w:val="BDCBE369"/>
    <w:rsid w:val="BDCDC703"/>
    <w:rsid w:val="BDF767A0"/>
    <w:rsid w:val="BECA2229"/>
    <w:rsid w:val="BEEF1092"/>
    <w:rsid w:val="BF0ACEA9"/>
    <w:rsid w:val="BF6BC3F6"/>
    <w:rsid w:val="BFBDFCC0"/>
    <w:rsid w:val="BFF9DC51"/>
    <w:rsid w:val="BFFB5CC7"/>
    <w:rsid w:val="BFFDA1F9"/>
    <w:rsid w:val="BFFF183F"/>
    <w:rsid w:val="C7FB5981"/>
    <w:rsid w:val="CB6ED4CD"/>
    <w:rsid w:val="CCBF92E0"/>
    <w:rsid w:val="CDFB219F"/>
    <w:rsid w:val="CE9F0514"/>
    <w:rsid w:val="CEDE51AE"/>
    <w:rsid w:val="CF7F1E8D"/>
    <w:rsid w:val="CF7F38DF"/>
    <w:rsid w:val="CFE25E01"/>
    <w:rsid w:val="CFF71FDA"/>
    <w:rsid w:val="D3EF8DDE"/>
    <w:rsid w:val="D4A3C511"/>
    <w:rsid w:val="D5EFEE7F"/>
    <w:rsid w:val="D6F77973"/>
    <w:rsid w:val="D77FF472"/>
    <w:rsid w:val="D7BFEAB9"/>
    <w:rsid w:val="D7FC3923"/>
    <w:rsid w:val="DB3F2B66"/>
    <w:rsid w:val="DDA941F1"/>
    <w:rsid w:val="DE7C2A9C"/>
    <w:rsid w:val="DE7F3CC5"/>
    <w:rsid w:val="DEE797FC"/>
    <w:rsid w:val="DF1FC4A6"/>
    <w:rsid w:val="DFFD0229"/>
    <w:rsid w:val="DFFF4E6F"/>
    <w:rsid w:val="E0E7F9E8"/>
    <w:rsid w:val="E1EBAB74"/>
    <w:rsid w:val="E3558500"/>
    <w:rsid w:val="E4FF934F"/>
    <w:rsid w:val="E669EFAD"/>
    <w:rsid w:val="E68E8512"/>
    <w:rsid w:val="E6EED119"/>
    <w:rsid w:val="E79FCC98"/>
    <w:rsid w:val="E7F7AB7C"/>
    <w:rsid w:val="E7F7C276"/>
    <w:rsid w:val="E7FF81E7"/>
    <w:rsid w:val="EB71EE59"/>
    <w:rsid w:val="EBBEDAAE"/>
    <w:rsid w:val="EBEF8072"/>
    <w:rsid w:val="EBFF37AC"/>
    <w:rsid w:val="ED2FAEEB"/>
    <w:rsid w:val="ED5D79B6"/>
    <w:rsid w:val="EDDD1248"/>
    <w:rsid w:val="EDFB3667"/>
    <w:rsid w:val="EEF73DD9"/>
    <w:rsid w:val="EF2E3EA6"/>
    <w:rsid w:val="EF7B1667"/>
    <w:rsid w:val="EFFF29F2"/>
    <w:rsid w:val="F16EA18A"/>
    <w:rsid w:val="F4EF9ECF"/>
    <w:rsid w:val="F4EFCBA1"/>
    <w:rsid w:val="F52FC65F"/>
    <w:rsid w:val="F61EBC20"/>
    <w:rsid w:val="F65E8A31"/>
    <w:rsid w:val="F6F2DA56"/>
    <w:rsid w:val="F7BB1ADA"/>
    <w:rsid w:val="F7C2DD30"/>
    <w:rsid w:val="F7D3D374"/>
    <w:rsid w:val="F7FB3F6E"/>
    <w:rsid w:val="F7FB8E3A"/>
    <w:rsid w:val="F7FE599F"/>
    <w:rsid w:val="F8827AB7"/>
    <w:rsid w:val="F8FB55CC"/>
    <w:rsid w:val="F9AF1485"/>
    <w:rsid w:val="FABA7351"/>
    <w:rsid w:val="FBAE449F"/>
    <w:rsid w:val="FBB5E161"/>
    <w:rsid w:val="FBD688EA"/>
    <w:rsid w:val="FBDDBFD3"/>
    <w:rsid w:val="FBFDAB85"/>
    <w:rsid w:val="FBFFBA37"/>
    <w:rsid w:val="FC2B887D"/>
    <w:rsid w:val="FC6D0470"/>
    <w:rsid w:val="FC72B87B"/>
    <w:rsid w:val="FC9F8312"/>
    <w:rsid w:val="FCDDBA49"/>
    <w:rsid w:val="FD4FCF7C"/>
    <w:rsid w:val="FD7E50DF"/>
    <w:rsid w:val="FDBB2EF6"/>
    <w:rsid w:val="FDD6C7C6"/>
    <w:rsid w:val="FDF077E9"/>
    <w:rsid w:val="FDF5CA5E"/>
    <w:rsid w:val="FDFFFC2E"/>
    <w:rsid w:val="FE3CF86F"/>
    <w:rsid w:val="FE73C85D"/>
    <w:rsid w:val="FEAFE7E1"/>
    <w:rsid w:val="FEBF4235"/>
    <w:rsid w:val="FEEFBFE8"/>
    <w:rsid w:val="FEF63C24"/>
    <w:rsid w:val="FEFC6E1B"/>
    <w:rsid w:val="FF29A74E"/>
    <w:rsid w:val="FF54A859"/>
    <w:rsid w:val="FF97F5E1"/>
    <w:rsid w:val="FFAB3A4B"/>
    <w:rsid w:val="FFB8DFE6"/>
    <w:rsid w:val="FFBBF510"/>
    <w:rsid w:val="FFBE9D9E"/>
    <w:rsid w:val="FFBFDBD1"/>
    <w:rsid w:val="FFDF894F"/>
    <w:rsid w:val="FFFA4D1D"/>
    <w:rsid w:val="FFFC8E7B"/>
    <w:rsid w:val="FFFEA1AE"/>
    <w:rsid w:val="FFFED5DD"/>
    <w:rsid w:val="FFFEF575"/>
    <w:rsid w:val="FFFF1437"/>
    <w:rsid w:val="FFFF2227"/>
    <w:rsid w:val="FFFFD252"/>
    <w:rsid w:val="FFFFD7BE"/>
    <w:rsid w:val="FFFFEC99"/>
    <w:rsid w:val="FFFFFF2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qFormat/>
    <w:uiPriority w:val="99"/>
    <w:pPr>
      <w:widowControl w:val="0"/>
      <w:jc w:val="both"/>
    </w:pPr>
    <w:rPr>
      <w:rFonts w:asciiTheme="minorHAnsi" w:hAnsiTheme="minorHAnsi" w:eastAsiaTheme="minorEastAsia" w:cstheme="minorBidi"/>
      <w:kern w:val="2"/>
      <w:sz w:val="21"/>
      <w:szCs w:val="3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w:qFormat/>
    <w:uiPriority w:val="99"/>
    <w:pPr>
      <w:widowControl w:val="0"/>
      <w:ind w:firstLine="420" w:firstLineChars="100"/>
      <w:jc w:val="both"/>
    </w:pPr>
    <w:rPr>
      <w:rFonts w:asciiTheme="minorHAnsi" w:hAnsiTheme="minorHAnsi" w:eastAsiaTheme="minorEastAsia" w:cstheme="minorBidi"/>
      <w:kern w:val="2"/>
      <w:sz w:val="21"/>
      <w:szCs w:val="32"/>
      <w:lang w:val="en-US" w:eastAsia="zh-CN" w:bidi="ar-SA"/>
    </w:rPr>
  </w:style>
  <w:style w:type="character" w:styleId="10">
    <w:name w:val="Strong"/>
    <w:basedOn w:val="9"/>
    <w:qFormat/>
    <w:uiPriority w:val="0"/>
    <w:rPr>
      <w:b/>
    </w:rPr>
  </w:style>
  <w:style w:type="character" w:customStyle="1" w:styleId="11">
    <w:name w:val="font11"/>
    <w:basedOn w:val="9"/>
    <w:qFormat/>
    <w:uiPriority w:val="0"/>
    <w:rPr>
      <w:rFonts w:hint="eastAsia" w:ascii="仿宋" w:hAnsi="仿宋" w:eastAsia="仿宋" w:cs="仿宋"/>
      <w:b/>
      <w:bCs/>
      <w:color w:val="000000"/>
      <w:sz w:val="24"/>
      <w:szCs w:val="24"/>
      <w:u w:val="none"/>
    </w:rPr>
  </w:style>
  <w:style w:type="character" w:customStyle="1" w:styleId="12">
    <w:name w:val="font21"/>
    <w:basedOn w:val="9"/>
    <w:qFormat/>
    <w:uiPriority w:val="0"/>
    <w:rPr>
      <w:rFonts w:hint="eastAsia" w:ascii="仿宋" w:hAnsi="仿宋" w:eastAsia="仿宋" w:cs="仿宋"/>
      <w:color w:val="000000"/>
      <w:sz w:val="24"/>
      <w:szCs w:val="24"/>
      <w:u w:val="none"/>
    </w:rPr>
  </w:style>
  <w:style w:type="character" w:customStyle="1" w:styleId="13">
    <w:name w:val="font31"/>
    <w:basedOn w:val="9"/>
    <w:qFormat/>
    <w:uiPriority w:val="0"/>
    <w:rPr>
      <w:rFonts w:hint="eastAsia" w:ascii="仿宋_GB2312" w:eastAsia="仿宋_GB2312" w:cs="仿宋_GB2312"/>
      <w:color w:val="000000"/>
      <w:sz w:val="24"/>
      <w:szCs w:val="24"/>
      <w:u w:val="none"/>
    </w:rPr>
  </w:style>
  <w:style w:type="paragraph" w:customStyle="1" w:styleId="14">
    <w:name w:val="正文首行缩进1"/>
    <w:basedOn w:val="1"/>
    <w:qFormat/>
    <w:uiPriority w:val="0"/>
    <w:pPr>
      <w:spacing w:after="120"/>
      <w:ind w:firstLine="420" w:firstLineChars="100"/>
    </w:pPr>
    <w:rPr>
      <w:rFonts w:ascii="Times New Roman" w:hAnsi="Times New Roman" w:eastAsia="仿宋_GB2312"/>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41</Pages>
  <Words>18855</Words>
  <Characters>19298</Characters>
  <Lines>1</Lines>
  <Paragraphs>1</Paragraphs>
  <TotalTime>0</TotalTime>
  <ScaleCrop>false</ScaleCrop>
  <LinksUpToDate>false</LinksUpToDate>
  <CharactersWithSpaces>19322</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2023-06-21T00:36:00Z</dcterms:created>
  <dc:creator>Administrator</dc:creator>
  <cp:lastModifiedBy>huanghe</cp:lastModifiedBy>
  <cp:lastPrinted>2023-08-30T10:25:00Z</cp:lastPrinted>
  <dcterms:modified xsi:type="dcterms:W3CDTF">2023-09-06T21:21:47Z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E86F3227984F42DE860268EC5809F631_13</vt:lpwstr>
  </property>
</Properties>
</file>